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4D" w:rsidRPr="006C294D" w:rsidRDefault="00433B51" w:rsidP="00433B51">
      <w:pPr>
        <w:jc w:val="center"/>
        <w:rPr>
          <w:b/>
        </w:rPr>
      </w:pPr>
      <w:r w:rsidRPr="006C294D">
        <w:rPr>
          <w:b/>
        </w:rPr>
        <w:t>Последовательность действий</w:t>
      </w:r>
    </w:p>
    <w:p w:rsidR="000F25C1" w:rsidRDefault="00433B51" w:rsidP="00433B51">
      <w:pPr>
        <w:jc w:val="center"/>
      </w:pPr>
      <w:r>
        <w:t xml:space="preserve"> при использовании метода</w:t>
      </w:r>
    </w:p>
    <w:p w:rsidR="00433B51" w:rsidRDefault="004F5AD7" w:rsidP="00433B51">
      <w:pPr>
        <w:jc w:val="center"/>
      </w:pPr>
      <w:r>
        <w:t>«</w:t>
      </w:r>
      <w:r w:rsidR="00A035C8">
        <w:t>Анализ контролируем</w:t>
      </w:r>
      <w:r w:rsidR="0045398E">
        <w:t>ой</w:t>
      </w:r>
      <w:r w:rsidR="00A035C8">
        <w:t xml:space="preserve"> сумм</w:t>
      </w:r>
      <w:r w:rsidR="0045398E">
        <w:t>ы</w:t>
      </w:r>
      <w:r w:rsidR="00A035C8">
        <w:t xml:space="preserve"> в </w:t>
      </w:r>
      <w:r w:rsidR="00433B51">
        <w:t>источник</w:t>
      </w:r>
      <w:r w:rsidR="00A035C8">
        <w:t>ах</w:t>
      </w:r>
      <w:r w:rsidR="00433B51">
        <w:t xml:space="preserve"> финансирования расход</w:t>
      </w:r>
      <w:r>
        <w:t>ных операций на расчетном счете».</w:t>
      </w:r>
    </w:p>
    <w:p w:rsidR="00A035C8" w:rsidRDefault="00A035C8" w:rsidP="00433B51">
      <w:pPr>
        <w:jc w:val="center"/>
      </w:pPr>
      <w:r>
        <w:t>(</w:t>
      </w:r>
      <w:r w:rsidRPr="0045398E">
        <w:rPr>
          <w:rFonts w:ascii="Arial Narrow" w:hAnsi="Arial Narrow"/>
          <w:b/>
        </w:rPr>
        <w:t>АКСИФ</w:t>
      </w:r>
      <w:r w:rsidR="0045398E" w:rsidRPr="0045398E">
        <w:rPr>
          <w:rFonts w:ascii="Arial Narrow" w:hAnsi="Arial Narrow"/>
          <w:b/>
        </w:rPr>
        <w:t>ОР</w:t>
      </w:r>
      <w:r>
        <w:t>)</w:t>
      </w:r>
    </w:p>
    <w:p w:rsidR="00A035C8" w:rsidRDefault="00A035C8" w:rsidP="00433B51">
      <w:pPr>
        <w:jc w:val="center"/>
      </w:pPr>
    </w:p>
    <w:p w:rsidR="00A035C8" w:rsidRDefault="004F5AD7" w:rsidP="004F5AD7">
      <w:r w:rsidRPr="004F5AD7">
        <w:rPr>
          <w:u w:val="single"/>
        </w:rPr>
        <w:t>Цель исследования</w:t>
      </w:r>
      <w:r>
        <w:t>: установить долю (в процентах или в долях единицы) контролируемой суммы в расходных операциях на расчетном (лицевом) счете клиента банка</w:t>
      </w:r>
      <w:r w:rsidR="009B5E80">
        <w:t>, последовательно, по всей цепи получателей</w:t>
      </w:r>
      <w:r>
        <w:t>.</w:t>
      </w:r>
      <w:r w:rsidR="0045398E">
        <w:t xml:space="preserve"> Окончание исследование – на усмотрение эксперта, например, до счета номинального ХС, участника схемы или по наличию банковских выписок.</w:t>
      </w:r>
      <w:r w:rsidR="00A21DC5">
        <w:t xml:space="preserve"> Результат – применение доли к исследуемым расходам для определения величины контролируемой суммы в составе всех источников финансирования расходных операций со счета.</w:t>
      </w:r>
    </w:p>
    <w:p w:rsidR="00CF4854" w:rsidRDefault="00CF4854" w:rsidP="00CF4854">
      <w:pPr>
        <w:jc w:val="both"/>
      </w:pPr>
      <w:r w:rsidRPr="004706FE">
        <w:rPr>
          <w:b/>
        </w:rPr>
        <w:t>1.</w:t>
      </w:r>
      <w:r>
        <w:t xml:space="preserve"> На исследование должны быть</w:t>
      </w:r>
      <w:bookmarkStart w:id="0" w:name="_GoBack"/>
      <w:bookmarkEnd w:id="0"/>
      <w:r>
        <w:t xml:space="preserve"> представлены выписки из расчетных счетов юр. и физ. лиц, в отношении которых известно, что они </w:t>
      </w:r>
      <w:r w:rsidR="004F5AD7">
        <w:t xml:space="preserve">последовательно </w:t>
      </w:r>
      <w:r>
        <w:t>пере</w:t>
      </w:r>
      <w:r w:rsidR="0045398E">
        <w:t>води</w:t>
      </w:r>
      <w:r>
        <w:t>ли друг другу денежные средства</w:t>
      </w:r>
      <w:r w:rsidR="0045398E">
        <w:t>, содержащие контролируемую сумму</w:t>
      </w:r>
      <w:r>
        <w:t>. Выписки должны содержать входящие (исходящие) сальдо на каждый опер</w:t>
      </w:r>
      <w:r w:rsidR="004F5AD7">
        <w:t xml:space="preserve">ационный </w:t>
      </w:r>
      <w:r>
        <w:t>день.</w:t>
      </w:r>
    </w:p>
    <w:p w:rsidR="00CF4854" w:rsidRDefault="00CF4854" w:rsidP="00CF4854">
      <w:pPr>
        <w:jc w:val="both"/>
      </w:pPr>
      <w:r w:rsidRPr="004706FE">
        <w:rPr>
          <w:b/>
        </w:rPr>
        <w:t>2.</w:t>
      </w:r>
      <w:r>
        <w:t xml:space="preserve"> </w:t>
      </w:r>
      <w:proofErr w:type="gramStart"/>
      <w:r>
        <w:t>Определяем первого получателя контролируемой суммы: лицо, которое первым в цепи получило денежные средства</w:t>
      </w:r>
      <w:r w:rsidR="005465BF">
        <w:t xml:space="preserve"> на свой банковский счет</w:t>
      </w:r>
      <w:r w:rsidR="003E417F">
        <w:t>,</w:t>
      </w:r>
      <w:r>
        <w:t xml:space="preserve"> в отношении которых надо установить конечного потребителя/получателя</w:t>
      </w:r>
      <w:r w:rsidR="00CA772A">
        <w:t xml:space="preserve"> данной суммы средств</w:t>
      </w:r>
      <w:r w:rsidR="003E417F">
        <w:t>, то есть лицо, чьи расходы были профинансированы с использованием контролируемой суммы</w:t>
      </w:r>
      <w:r>
        <w:t>.</w:t>
      </w:r>
      <w:proofErr w:type="gramEnd"/>
    </w:p>
    <w:p w:rsidR="00CF4854" w:rsidRDefault="00CF4854" w:rsidP="00CF4854">
      <w:pPr>
        <w:jc w:val="both"/>
      </w:pPr>
      <w:r w:rsidRPr="004706FE">
        <w:rPr>
          <w:b/>
        </w:rPr>
        <w:t>3.</w:t>
      </w:r>
      <w:r>
        <w:t xml:space="preserve"> Для первого получателя в каждый </w:t>
      </w:r>
      <w:r w:rsidR="00CA772A">
        <w:t>из операционных дней</w:t>
      </w:r>
      <w:r>
        <w:t>, когда поступали контролируемые суммы, по данным в выписке из денежного счета производим определение долей источников (в процентах или в долях единицы) в составе:</w:t>
      </w:r>
    </w:p>
    <w:p w:rsidR="00CF4854" w:rsidRDefault="00CF4854" w:rsidP="00CF4854">
      <w:pPr>
        <w:jc w:val="both"/>
      </w:pPr>
      <w:r>
        <w:t>- контролируемая поступившая сумма (КС), руб.;</w:t>
      </w:r>
    </w:p>
    <w:p w:rsidR="00CF4854" w:rsidRDefault="00CF4854" w:rsidP="00CF4854">
      <w:pPr>
        <w:jc w:val="both"/>
      </w:pPr>
      <w:r>
        <w:t xml:space="preserve">- входящее сальдо </w:t>
      </w:r>
      <w:proofErr w:type="spellStart"/>
      <w:r>
        <w:t>опер</w:t>
      </w:r>
      <w:proofErr w:type="gramStart"/>
      <w:r>
        <w:t>.д</w:t>
      </w:r>
      <w:proofErr w:type="gramEnd"/>
      <w:r>
        <w:t>ня</w:t>
      </w:r>
      <w:proofErr w:type="spellEnd"/>
      <w:r>
        <w:t xml:space="preserve">, (ВС), </w:t>
      </w:r>
      <w:proofErr w:type="spellStart"/>
      <w:r>
        <w:t>руб</w:t>
      </w:r>
      <w:proofErr w:type="spellEnd"/>
      <w:r>
        <w:t>;</w:t>
      </w:r>
      <w:r w:rsidR="0084734B">
        <w:t xml:space="preserve"> с учетом примечания (см. ниже), то есть, если это не первый </w:t>
      </w:r>
      <w:proofErr w:type="spellStart"/>
      <w:r w:rsidR="0084734B">
        <w:t>опер.день</w:t>
      </w:r>
      <w:proofErr w:type="spellEnd"/>
      <w:r w:rsidR="0084734B">
        <w:t xml:space="preserve">, во входящем сальдо может присутствовать остаток КС от предыдущего </w:t>
      </w:r>
      <w:proofErr w:type="spellStart"/>
      <w:r w:rsidR="0084734B">
        <w:t>опер.дня</w:t>
      </w:r>
      <w:proofErr w:type="spellEnd"/>
      <w:r w:rsidR="0084734B">
        <w:t xml:space="preserve"> – в этом случае его надо включить в показатель КС, а в показателе </w:t>
      </w:r>
      <w:r w:rsidR="006C294D">
        <w:t>В</w:t>
      </w:r>
      <w:r w:rsidR="0084734B">
        <w:t xml:space="preserve">С </w:t>
      </w:r>
      <w:r w:rsidR="006C294D">
        <w:t>оставить</w:t>
      </w:r>
      <w:r w:rsidR="0084734B">
        <w:t xml:space="preserve"> сумму без него.</w:t>
      </w:r>
    </w:p>
    <w:p w:rsidR="00CF4854" w:rsidRDefault="00CF4854" w:rsidP="00CF4854">
      <w:pPr>
        <w:jc w:val="both"/>
      </w:pPr>
      <w:r>
        <w:t xml:space="preserve">- прочие поступления </w:t>
      </w:r>
      <w:r w:rsidR="00854B5A">
        <w:t xml:space="preserve">дня </w:t>
      </w:r>
      <w:r>
        <w:t>(ПП), руб.</w:t>
      </w:r>
    </w:p>
    <w:p w:rsidR="00CF4854" w:rsidRDefault="00CF4854" w:rsidP="00CF4854">
      <w:pPr>
        <w:jc w:val="both"/>
      </w:pPr>
      <w:r>
        <w:t>ИТОГО</w:t>
      </w:r>
      <w:r w:rsidR="00586749">
        <w:t xml:space="preserve">, сумма всех источников </w:t>
      </w:r>
      <w:proofErr w:type="spellStart"/>
      <w:r w:rsidR="00586749">
        <w:t>опер</w:t>
      </w:r>
      <w:proofErr w:type="gramStart"/>
      <w:r w:rsidR="00586749">
        <w:t>.д</w:t>
      </w:r>
      <w:proofErr w:type="gramEnd"/>
      <w:r w:rsidR="00586749">
        <w:t>ня</w:t>
      </w:r>
      <w:proofErr w:type="spellEnd"/>
      <w:r w:rsidR="00586749">
        <w:t xml:space="preserve"> (СИД)= КС+ВС+ПП.</w:t>
      </w:r>
    </w:p>
    <w:p w:rsidR="00586749" w:rsidRDefault="00586749" w:rsidP="00CF4854">
      <w:pPr>
        <w:jc w:val="both"/>
      </w:pPr>
      <w:r w:rsidRPr="00BD40F7">
        <w:rPr>
          <w:b/>
        </w:rPr>
        <w:t>Доля КС</w:t>
      </w:r>
      <w:r w:rsidR="00CA772A">
        <w:rPr>
          <w:b/>
        </w:rPr>
        <w:t xml:space="preserve"> </w:t>
      </w:r>
      <w:r w:rsidR="00CA772A" w:rsidRPr="00CA772A">
        <w:t>в процентах</w:t>
      </w:r>
      <w:r>
        <w:t xml:space="preserve"> (ДКС): КС/СИД</w:t>
      </w:r>
      <w:r w:rsidR="0084734B">
        <w:t xml:space="preserve"> </w:t>
      </w:r>
      <w:r>
        <w:t>х</w:t>
      </w:r>
      <w:r w:rsidR="0084734B">
        <w:t xml:space="preserve"> </w:t>
      </w:r>
      <w:r>
        <w:t>100%</w:t>
      </w:r>
    </w:p>
    <w:p w:rsidR="00586749" w:rsidRDefault="00586749" w:rsidP="00CF4854">
      <w:pPr>
        <w:jc w:val="both"/>
      </w:pPr>
    </w:p>
    <w:p w:rsidR="00586749" w:rsidRDefault="00586749" w:rsidP="00CF4854">
      <w:pPr>
        <w:jc w:val="both"/>
      </w:pPr>
      <w:r w:rsidRPr="004706FE">
        <w:rPr>
          <w:b/>
        </w:rPr>
        <w:t>4.</w:t>
      </w:r>
      <w:r>
        <w:t xml:space="preserve"> Определение через долю КС </w:t>
      </w:r>
      <w:proofErr w:type="gramStart"/>
      <w:r>
        <w:t>в</w:t>
      </w:r>
      <w:proofErr w:type="gramEnd"/>
      <w:r>
        <w:t xml:space="preserve"> </w:t>
      </w:r>
      <w:proofErr w:type="gramStart"/>
      <w:r>
        <w:t>СИД</w:t>
      </w:r>
      <w:proofErr w:type="gramEnd"/>
      <w:r>
        <w:t xml:space="preserve"> </w:t>
      </w:r>
      <w:r w:rsidR="001F3DD8">
        <w:t>величины</w:t>
      </w:r>
      <w:r>
        <w:t xml:space="preserve"> КС в каждом расходе</w:t>
      </w:r>
      <w:r w:rsidR="00854B5A">
        <w:t xml:space="preserve"> первого получателя </w:t>
      </w:r>
      <w:r>
        <w:t xml:space="preserve"> и в исходящем сальдо:</w:t>
      </w:r>
    </w:p>
    <w:p w:rsidR="00586749" w:rsidRDefault="00854B5A" w:rsidP="00CF4854">
      <w:pPr>
        <w:jc w:val="both"/>
      </w:pPr>
      <w:r w:rsidRPr="00F554A4">
        <w:rPr>
          <w:b/>
        </w:rPr>
        <w:t>4.1</w:t>
      </w:r>
      <w:r>
        <w:t xml:space="preserve">. </w:t>
      </w:r>
      <w:r w:rsidR="00586749">
        <w:t xml:space="preserve">В исходящем сальдо (ИС): </w:t>
      </w:r>
    </w:p>
    <w:p w:rsidR="00D1548F" w:rsidRDefault="00D1548F" w:rsidP="00CF4854">
      <w:pPr>
        <w:jc w:val="both"/>
      </w:pPr>
      <w:r>
        <w:t>Если исходящее сальдо меньше входящего</w:t>
      </w:r>
      <w:r w:rsidR="001F3DD8">
        <w:t>, то в его остатке контролируемая сумма не присутствует. Если исходящее больше входящего, то в финансировании его прироста, в качестве источника, также поучаствовала контролируемая сумма.</w:t>
      </w:r>
    </w:p>
    <w:p w:rsidR="001F3DD8" w:rsidRDefault="001F3DD8" w:rsidP="00CF4854">
      <w:pPr>
        <w:jc w:val="both"/>
      </w:pPr>
      <w:r>
        <w:t>В случае большего исходящего вычисляем дневной прирост:</w:t>
      </w:r>
    </w:p>
    <w:p w:rsidR="001F3DD8" w:rsidRDefault="001F3DD8" w:rsidP="00CF4854">
      <w:pPr>
        <w:jc w:val="both"/>
      </w:pPr>
      <w:r>
        <w:t>ИС – ВС = ПИС (прирост исходящего сальдо)</w:t>
      </w:r>
    </w:p>
    <w:p w:rsidR="009A35B9" w:rsidRDefault="001F3DD8" w:rsidP="00CF4854">
      <w:pPr>
        <w:jc w:val="both"/>
      </w:pPr>
      <w:r>
        <w:t>П</w:t>
      </w:r>
      <w:r w:rsidR="00586749">
        <w:t xml:space="preserve">ИС / 100% х ДКС = </w:t>
      </w:r>
      <w:r>
        <w:t>величина</w:t>
      </w:r>
      <w:r w:rsidR="00586749">
        <w:t xml:space="preserve"> КС в исходящем сальдо текущего д</w:t>
      </w:r>
      <w:r w:rsidR="009A35B9">
        <w:t>н</w:t>
      </w:r>
      <w:r w:rsidR="00586749">
        <w:t>я и в</w:t>
      </w:r>
      <w:r w:rsidR="009A35B9">
        <w:t>о</w:t>
      </w:r>
      <w:r w:rsidR="00586749">
        <w:t xml:space="preserve"> входящем следующего</w:t>
      </w:r>
      <w:r w:rsidR="009A35B9">
        <w:t xml:space="preserve"> операционного дня</w:t>
      </w:r>
      <w:r w:rsidR="00586749">
        <w:t xml:space="preserve">. </w:t>
      </w:r>
    </w:p>
    <w:p w:rsidR="009A35B9" w:rsidRDefault="009A35B9" w:rsidP="00CF4854">
      <w:pPr>
        <w:jc w:val="both"/>
      </w:pPr>
    </w:p>
    <w:p w:rsidR="00586749" w:rsidRDefault="009A35B9" w:rsidP="00CF4854">
      <w:pPr>
        <w:jc w:val="both"/>
      </w:pPr>
      <w:r w:rsidRPr="0084734B">
        <w:rPr>
          <w:b/>
        </w:rPr>
        <w:lastRenderedPageBreak/>
        <w:t>Примечание</w:t>
      </w:r>
      <w:r>
        <w:t xml:space="preserve">. </w:t>
      </w:r>
      <w:r w:rsidR="00586749">
        <w:t xml:space="preserve">Для следующего </w:t>
      </w:r>
      <w:proofErr w:type="spellStart"/>
      <w:r w:rsidR="00586749">
        <w:t>опер</w:t>
      </w:r>
      <w:proofErr w:type="gramStart"/>
      <w:r>
        <w:t>.</w:t>
      </w:r>
      <w:r w:rsidR="00586749">
        <w:t>д</w:t>
      </w:r>
      <w:proofErr w:type="gramEnd"/>
      <w:r w:rsidR="00586749">
        <w:t>ня</w:t>
      </w:r>
      <w:proofErr w:type="spellEnd"/>
      <w:r w:rsidR="00586749">
        <w:t xml:space="preserve"> следует повторить всю процедуру с определением доли КС во всех источниках</w:t>
      </w:r>
      <w:r w:rsidR="00854B5A">
        <w:t xml:space="preserve"> (возможен приход новой контролируемой суммы и </w:t>
      </w:r>
      <w:r>
        <w:t xml:space="preserve">ее </w:t>
      </w:r>
      <w:r w:rsidR="00854B5A">
        <w:t xml:space="preserve">надо </w:t>
      </w:r>
      <w:r>
        <w:t>сложить с</w:t>
      </w:r>
      <w:r w:rsidR="0084734B">
        <w:t xml:space="preserve"> остатком </w:t>
      </w:r>
      <w:r w:rsidR="00854B5A">
        <w:t>контролируем</w:t>
      </w:r>
      <w:r>
        <w:t>ой</w:t>
      </w:r>
      <w:r w:rsidR="00854B5A">
        <w:t xml:space="preserve"> сумм</w:t>
      </w:r>
      <w:r w:rsidR="0084734B">
        <w:t>ы</w:t>
      </w:r>
      <w:r w:rsidR="00854B5A">
        <w:t xml:space="preserve"> во входящем сальдо)</w:t>
      </w:r>
      <w:r w:rsidR="00586749">
        <w:t>.</w:t>
      </w:r>
    </w:p>
    <w:p w:rsidR="009A35B9" w:rsidRDefault="009A35B9" w:rsidP="00CF4854">
      <w:pPr>
        <w:jc w:val="both"/>
      </w:pPr>
    </w:p>
    <w:p w:rsidR="00586749" w:rsidRDefault="00854B5A" w:rsidP="00CF4854">
      <w:pPr>
        <w:jc w:val="both"/>
      </w:pPr>
      <w:r w:rsidRPr="0084734B">
        <w:rPr>
          <w:b/>
        </w:rPr>
        <w:t xml:space="preserve">4.2. </w:t>
      </w:r>
      <w:r w:rsidR="00586749">
        <w:t xml:space="preserve">В любом расходе анализируемого </w:t>
      </w:r>
      <w:proofErr w:type="spellStart"/>
      <w:r w:rsidR="00586749">
        <w:t>опер</w:t>
      </w:r>
      <w:proofErr w:type="gramStart"/>
      <w:r w:rsidR="001F3DD8">
        <w:t>.</w:t>
      </w:r>
      <w:r w:rsidR="00586749">
        <w:t>д</w:t>
      </w:r>
      <w:proofErr w:type="gramEnd"/>
      <w:r w:rsidR="00586749">
        <w:t>ня</w:t>
      </w:r>
      <w:proofErr w:type="spellEnd"/>
      <w:r w:rsidR="00586749">
        <w:t xml:space="preserve"> (</w:t>
      </w:r>
      <w:r w:rsidR="001F3DD8">
        <w:t>РОД</w:t>
      </w:r>
      <w:r w:rsidR="00586749">
        <w:t>):</w:t>
      </w:r>
    </w:p>
    <w:p w:rsidR="00586749" w:rsidRDefault="001F3DD8" w:rsidP="00CF4854">
      <w:pPr>
        <w:jc w:val="both"/>
      </w:pPr>
      <w:r>
        <w:t>РОД</w:t>
      </w:r>
      <w:r w:rsidR="00854B5A">
        <w:t xml:space="preserve"> / 100% х ДКС = </w:t>
      </w:r>
      <w:r>
        <w:t>величина</w:t>
      </w:r>
      <w:r w:rsidR="00854B5A">
        <w:t xml:space="preserve"> КС в рассматриваемом расходе.</w:t>
      </w:r>
      <w:r w:rsidR="00BD40F7">
        <w:t xml:space="preserve"> Здесь эксперт исследует получателя. </w:t>
      </w:r>
      <w:r w:rsidR="009A35B9">
        <w:t xml:space="preserve">Это необходимо для разделения расходов на производственные цели и на потребление. </w:t>
      </w:r>
      <w:r w:rsidR="004706FE">
        <w:t>Потребление: ФЗП и отчисления, премии, вознаграждения, оплата путевок¸ лечения, обучения и т.д., Производственные цели: оплата по гражданско-правовым договорам юридическим лицам и ИП за товары, работы, услуги производственно-технологического характера. Если</w:t>
      </w:r>
      <w:r w:rsidR="00BD40F7">
        <w:t xml:space="preserve"> это потребление</w:t>
      </w:r>
      <w:r w:rsidR="004706FE">
        <w:t>, то надо определить состав лиц-получателей и отразить его в заключении, если это производственные расходы, то надо переходить к</w:t>
      </w:r>
      <w:r w:rsidR="00BD40F7">
        <w:t xml:space="preserve"> следующ</w:t>
      </w:r>
      <w:r w:rsidR="004706FE">
        <w:t>ему</w:t>
      </w:r>
      <w:r w:rsidR="00BD40F7">
        <w:t xml:space="preserve"> контрагент</w:t>
      </w:r>
      <w:r w:rsidR="004706FE">
        <w:t>у-</w:t>
      </w:r>
      <w:r w:rsidR="00BD40F7">
        <w:t>получател</w:t>
      </w:r>
      <w:r w:rsidR="004706FE">
        <w:t>ю и проводить анализ его расчетного счета</w:t>
      </w:r>
      <w:r w:rsidR="00BD40F7">
        <w:t>.</w:t>
      </w:r>
    </w:p>
    <w:p w:rsidR="00854B5A" w:rsidRDefault="00854B5A" w:rsidP="00CF4854">
      <w:pPr>
        <w:jc w:val="both"/>
      </w:pPr>
    </w:p>
    <w:p w:rsidR="00854B5A" w:rsidRDefault="00854B5A" w:rsidP="00CF4854">
      <w:pPr>
        <w:jc w:val="both"/>
      </w:pPr>
      <w:r w:rsidRPr="004706FE">
        <w:rPr>
          <w:b/>
        </w:rPr>
        <w:t>5.</w:t>
      </w:r>
      <w:r>
        <w:t xml:space="preserve"> Для второго и последующих получателей:</w:t>
      </w:r>
    </w:p>
    <w:p w:rsidR="00854B5A" w:rsidRDefault="00854B5A" w:rsidP="00CF4854">
      <w:pPr>
        <w:jc w:val="both"/>
      </w:pPr>
      <w:r>
        <w:t xml:space="preserve">- </w:t>
      </w:r>
      <w:r w:rsidR="006C294D">
        <w:t xml:space="preserve">в </w:t>
      </w:r>
      <w:r>
        <w:t>поступивш</w:t>
      </w:r>
      <w:r w:rsidR="006C294D">
        <w:t>ей</w:t>
      </w:r>
      <w:r>
        <w:t xml:space="preserve"> сумм</w:t>
      </w:r>
      <w:r w:rsidR="006C294D">
        <w:t>е</w:t>
      </w:r>
      <w:r>
        <w:t xml:space="preserve"> от предыдущего получателя, в составе которой имеется КС (см. п. 4.2)</w:t>
      </w:r>
      <w:r w:rsidR="006C294D">
        <w:t xml:space="preserve"> выделить</w:t>
      </w:r>
      <w:r>
        <w:t>:</w:t>
      </w:r>
    </w:p>
    <w:p w:rsidR="00854B5A" w:rsidRDefault="00854B5A" w:rsidP="00CF4854">
      <w:pPr>
        <w:jc w:val="both"/>
      </w:pPr>
      <w:r>
        <w:tab/>
        <w:t>- сумма КС</w:t>
      </w:r>
    </w:p>
    <w:p w:rsidR="00854B5A" w:rsidRDefault="00854B5A" w:rsidP="00CF4854">
      <w:pPr>
        <w:jc w:val="both"/>
      </w:pPr>
      <w:r>
        <w:tab/>
        <w:t>- прочая сумма в составе этой поступившей суммы (ППС);</w:t>
      </w:r>
    </w:p>
    <w:p w:rsidR="00854B5A" w:rsidRDefault="00854B5A" w:rsidP="00CF4854">
      <w:pPr>
        <w:jc w:val="both"/>
      </w:pPr>
      <w:r>
        <w:t xml:space="preserve">- входящее сальдо </w:t>
      </w:r>
      <w:proofErr w:type="spellStart"/>
      <w:r>
        <w:t>опердня</w:t>
      </w:r>
      <w:proofErr w:type="spellEnd"/>
      <w:r>
        <w:t xml:space="preserve"> (ВС)</w:t>
      </w:r>
      <w:r w:rsidR="006C294D">
        <w:t xml:space="preserve"> (если в ней имеется КС от предыдущего дня, соответственно, также разделить и учитывать отдельно в КС и в ВС)</w:t>
      </w:r>
      <w:r>
        <w:t>;</w:t>
      </w:r>
    </w:p>
    <w:p w:rsidR="00854B5A" w:rsidRDefault="00854B5A" w:rsidP="00CF4854">
      <w:pPr>
        <w:jc w:val="both"/>
      </w:pPr>
      <w:r>
        <w:t>- прочие поступления дня (ПП)</w:t>
      </w:r>
    </w:p>
    <w:p w:rsidR="00854B5A" w:rsidRDefault="00854B5A" w:rsidP="00CF4854">
      <w:pPr>
        <w:jc w:val="both"/>
      </w:pPr>
      <w:r>
        <w:t xml:space="preserve">ИТОГО, сумма всех источников </w:t>
      </w:r>
      <w:proofErr w:type="spellStart"/>
      <w:r>
        <w:t>опердня</w:t>
      </w:r>
      <w:proofErr w:type="spellEnd"/>
      <w:r>
        <w:t xml:space="preserve"> (СИД)= КС+ППС+ВС+ПП.</w:t>
      </w:r>
    </w:p>
    <w:p w:rsidR="00854B5A" w:rsidRDefault="00854B5A" w:rsidP="00CF4854">
      <w:pPr>
        <w:jc w:val="both"/>
      </w:pPr>
      <w:r>
        <w:t>Доля КС (ДКС): КС / СИД х 100%</w:t>
      </w:r>
    </w:p>
    <w:p w:rsidR="0044237A" w:rsidRDefault="0044237A" w:rsidP="00CF4854">
      <w:pPr>
        <w:jc w:val="both"/>
      </w:pPr>
    </w:p>
    <w:p w:rsidR="00586749" w:rsidRDefault="0044237A" w:rsidP="00CF4854">
      <w:pPr>
        <w:jc w:val="both"/>
      </w:pPr>
      <w:r w:rsidRPr="00F554A4">
        <w:rPr>
          <w:b/>
        </w:rPr>
        <w:t>6.</w:t>
      </w:r>
      <w:r>
        <w:t xml:space="preserve"> Определение через долю КС </w:t>
      </w:r>
      <w:proofErr w:type="gramStart"/>
      <w:r>
        <w:t>в</w:t>
      </w:r>
      <w:proofErr w:type="gramEnd"/>
      <w:r>
        <w:t xml:space="preserve"> </w:t>
      </w:r>
      <w:proofErr w:type="gramStart"/>
      <w:r>
        <w:t>СИД</w:t>
      </w:r>
      <w:proofErr w:type="gramEnd"/>
      <w:r>
        <w:t xml:space="preserve"> </w:t>
      </w:r>
      <w:r w:rsidR="001F3DD8">
        <w:t>размера</w:t>
      </w:r>
      <w:r>
        <w:t xml:space="preserve"> КС в каждом расходе получателя  и в исходящем сальдо аналогично п. 4.</w:t>
      </w:r>
      <w:r w:rsidR="006C294D">
        <w:t>1-4.2.</w:t>
      </w:r>
    </w:p>
    <w:p w:rsidR="0044237A" w:rsidRDefault="0044237A" w:rsidP="00CF4854">
      <w:pPr>
        <w:jc w:val="both"/>
      </w:pPr>
    </w:p>
    <w:p w:rsidR="00CF4854" w:rsidRPr="006C294D" w:rsidRDefault="0044237A" w:rsidP="00CF4854">
      <w:pPr>
        <w:jc w:val="both"/>
        <w:rPr>
          <w:b/>
        </w:rPr>
      </w:pPr>
      <w:r w:rsidRPr="006C294D">
        <w:rPr>
          <w:b/>
        </w:rPr>
        <w:t>©НП «КРЭС» 2013-2018гг</w:t>
      </w:r>
    </w:p>
    <w:sectPr w:rsidR="00CF4854" w:rsidRPr="006C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35"/>
    <w:rsid w:val="00065DA1"/>
    <w:rsid w:val="000F25C1"/>
    <w:rsid w:val="001F3DD8"/>
    <w:rsid w:val="002C4B13"/>
    <w:rsid w:val="003C5E37"/>
    <w:rsid w:val="003E417F"/>
    <w:rsid w:val="00433B51"/>
    <w:rsid w:val="0044237A"/>
    <w:rsid w:val="0045398E"/>
    <w:rsid w:val="00454E0A"/>
    <w:rsid w:val="004706FE"/>
    <w:rsid w:val="004F5AD7"/>
    <w:rsid w:val="005465BF"/>
    <w:rsid w:val="00586749"/>
    <w:rsid w:val="006C294D"/>
    <w:rsid w:val="007A1935"/>
    <w:rsid w:val="0084734B"/>
    <w:rsid w:val="00854B5A"/>
    <w:rsid w:val="009A35B9"/>
    <w:rsid w:val="009B5E80"/>
    <w:rsid w:val="009E18E6"/>
    <w:rsid w:val="00A035C8"/>
    <w:rsid w:val="00A21DC5"/>
    <w:rsid w:val="00AD04EF"/>
    <w:rsid w:val="00AF2583"/>
    <w:rsid w:val="00B35467"/>
    <w:rsid w:val="00B577F0"/>
    <w:rsid w:val="00B64115"/>
    <w:rsid w:val="00BD40F7"/>
    <w:rsid w:val="00CA772A"/>
    <w:rsid w:val="00CF4854"/>
    <w:rsid w:val="00D1548F"/>
    <w:rsid w:val="00E256D7"/>
    <w:rsid w:val="00E83ECC"/>
    <w:rsid w:val="00ED31C3"/>
    <w:rsid w:val="00F5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Экспертный"/>
    <w:qFormat/>
    <w:rsid w:val="00B35467"/>
    <w:pPr>
      <w:spacing w:before="100" w:beforeAutospacing="1" w:after="100" w:afterAutospacing="1"/>
      <w:ind w:firstLine="851"/>
      <w:contextualSpacing/>
    </w:pPr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9E18E6"/>
    <w:pPr>
      <w:keepNext/>
      <w:tabs>
        <w:tab w:val="left" w:pos="1843"/>
        <w:tab w:val="left" w:pos="6237"/>
      </w:tabs>
      <w:spacing w:before="120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1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1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1C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1C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1C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1C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1C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1C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1C3"/>
    <w:rPr>
      <w:rFonts w:ascii="Arial" w:hAnsi="Arial"/>
      <w:b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1C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31C3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31C3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31C3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31C3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31C3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31C3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31C3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D31C3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D31C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31C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D31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1C3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D31C3"/>
    <w:rPr>
      <w:b/>
      <w:bCs/>
    </w:rPr>
  </w:style>
  <w:style w:type="character" w:styleId="a9">
    <w:name w:val="Emphasis"/>
    <w:uiPriority w:val="20"/>
    <w:qFormat/>
    <w:rsid w:val="00ED31C3"/>
    <w:rPr>
      <w:i/>
      <w:iCs/>
    </w:rPr>
  </w:style>
  <w:style w:type="paragraph" w:styleId="aa">
    <w:name w:val="No Spacing"/>
    <w:aliases w:val="обычный"/>
    <w:basedOn w:val="a"/>
    <w:next w:val="a"/>
    <w:link w:val="ab"/>
    <w:uiPriority w:val="1"/>
    <w:qFormat/>
    <w:rsid w:val="00ED31C3"/>
  </w:style>
  <w:style w:type="character" w:customStyle="1" w:styleId="ab">
    <w:name w:val="Без интервала Знак"/>
    <w:aliases w:val="обычный Знак"/>
    <w:basedOn w:val="a0"/>
    <w:link w:val="aa"/>
    <w:uiPriority w:val="1"/>
    <w:rsid w:val="00ED31C3"/>
    <w:rPr>
      <w:lang w:eastAsia="ru-RU"/>
    </w:rPr>
  </w:style>
  <w:style w:type="paragraph" w:styleId="ac">
    <w:name w:val="List Paragraph"/>
    <w:basedOn w:val="a"/>
    <w:uiPriority w:val="34"/>
    <w:qFormat/>
    <w:rsid w:val="00ED31C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D31C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D31C3"/>
    <w:rPr>
      <w:i/>
      <w:iCs/>
      <w:color w:val="000000" w:themeColor="text1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D31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D31C3"/>
    <w:rPr>
      <w:b/>
      <w:bCs/>
      <w:i/>
      <w:iCs/>
      <w:color w:val="4F81BD" w:themeColor="accent1"/>
      <w:lang w:eastAsia="ru-RU"/>
    </w:rPr>
  </w:style>
  <w:style w:type="character" w:styleId="af">
    <w:name w:val="Subtle Emphasis"/>
    <w:uiPriority w:val="19"/>
    <w:qFormat/>
    <w:rsid w:val="00ED31C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ED31C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31C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ED31C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ED31C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31C3"/>
    <w:pPr>
      <w:tabs>
        <w:tab w:val="clear" w:pos="1843"/>
        <w:tab w:val="clear" w:pos="6237"/>
      </w:tabs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customStyle="1" w:styleId="af5">
    <w:name w:val="Адрес письма"/>
    <w:basedOn w:val="a"/>
    <w:link w:val="af6"/>
    <w:qFormat/>
    <w:rsid w:val="00AD04EF"/>
    <w:pPr>
      <w:ind w:left="4536"/>
      <w:jc w:val="both"/>
    </w:pPr>
  </w:style>
  <w:style w:type="character" w:customStyle="1" w:styleId="af6">
    <w:name w:val="Адрес письма Знак"/>
    <w:basedOn w:val="a0"/>
    <w:link w:val="af5"/>
    <w:rsid w:val="00AD04EF"/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4FB7-EB32-4A93-A103-FB18ADA6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Алешин</dc:creator>
  <cp:keywords/>
  <dc:description/>
  <cp:lastModifiedBy>Александр Алешин</cp:lastModifiedBy>
  <cp:revision>7</cp:revision>
  <dcterms:created xsi:type="dcterms:W3CDTF">2018-04-26T11:02:00Z</dcterms:created>
  <dcterms:modified xsi:type="dcterms:W3CDTF">2018-12-03T13:46:00Z</dcterms:modified>
</cp:coreProperties>
</file>