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54" w:rsidRDefault="00E23C8B" w:rsidP="0003248E">
      <w:pPr>
        <w:ind w:firstLine="0"/>
        <w:jc w:val="center"/>
        <w:rPr>
          <w:b/>
        </w:rPr>
      </w:pPr>
      <w:r>
        <w:rPr>
          <w:b/>
        </w:rPr>
        <w:t>Примеры декомпозиции</w:t>
      </w:r>
      <w:r w:rsidR="00177E54">
        <w:rPr>
          <w:b/>
        </w:rPr>
        <w:t xml:space="preserve"> </w:t>
      </w:r>
      <w:r w:rsidR="00C84407" w:rsidRPr="009B120B">
        <w:rPr>
          <w:b/>
        </w:rPr>
        <w:t>рисков</w:t>
      </w:r>
    </w:p>
    <w:p w:rsidR="00C84407" w:rsidRDefault="00C84407" w:rsidP="0003248E">
      <w:pPr>
        <w:ind w:firstLine="0"/>
        <w:jc w:val="center"/>
      </w:pPr>
      <w:r w:rsidRPr="009B120B">
        <w:rPr>
          <w:b/>
        </w:rPr>
        <w:t>для наиболее типичных хоз</w:t>
      </w:r>
      <w:r w:rsidR="00177E54">
        <w:rPr>
          <w:b/>
        </w:rPr>
        <w:t xml:space="preserve">яйственных </w:t>
      </w:r>
      <w:r w:rsidRPr="009B120B">
        <w:rPr>
          <w:b/>
        </w:rPr>
        <w:t>операций</w:t>
      </w:r>
    </w:p>
    <w:p w:rsidR="00776B05" w:rsidRDefault="00776B05" w:rsidP="0003248E">
      <w:pPr>
        <w:ind w:firstLine="0"/>
        <w:jc w:val="both"/>
      </w:pPr>
    </w:p>
    <w:p w:rsidR="00776B05" w:rsidRDefault="00776B05" w:rsidP="0003248E">
      <w:pPr>
        <w:ind w:firstLine="0"/>
        <w:jc w:val="both"/>
      </w:pPr>
      <w:r>
        <w:tab/>
      </w:r>
      <w:proofErr w:type="gramStart"/>
      <w:r>
        <w:t>В практике деятельности хозяйствующих субъектов</w:t>
      </w:r>
      <w:r w:rsidR="008D754F">
        <w:t xml:space="preserve"> (далее, «ХС»)</w:t>
      </w:r>
      <w:r>
        <w:t xml:space="preserve"> выделяют, обычно, как минимум, пять групп рисков, которые сопутствуют бизнесу: </w:t>
      </w:r>
      <w:r w:rsidRPr="00C560C5">
        <w:rPr>
          <w:i/>
        </w:rPr>
        <w:t>контрагентские, рыночные, риски ликвидности, операционные риски и комплаенс</w:t>
      </w:r>
      <w:r w:rsidR="00177E54">
        <w:t xml:space="preserve"> -</w:t>
      </w:r>
      <w:r>
        <w:t xml:space="preserve"> риски</w:t>
      </w:r>
      <w:r w:rsidR="008D754F">
        <w:rPr>
          <w:rStyle w:val="af9"/>
        </w:rPr>
        <w:footnoteReference w:id="1"/>
      </w:r>
      <w:r>
        <w:t>.</w:t>
      </w:r>
      <w:proofErr w:type="gramEnd"/>
    </w:p>
    <w:p w:rsidR="00776B05" w:rsidRDefault="00776B05" w:rsidP="0003248E">
      <w:pPr>
        <w:ind w:firstLine="0"/>
        <w:jc w:val="both"/>
      </w:pPr>
      <w:r>
        <w:tab/>
      </w:r>
      <w:r w:rsidRPr="00832B4D">
        <w:rPr>
          <w:b/>
        </w:rPr>
        <w:t>1.</w:t>
      </w:r>
      <w:r w:rsidRPr="00C560C5">
        <w:rPr>
          <w:b/>
        </w:rPr>
        <w:t xml:space="preserve"> Контрагентские риски</w:t>
      </w:r>
      <w:r>
        <w:t>.</w:t>
      </w:r>
      <w:r w:rsidR="00E23C8B">
        <w:t xml:space="preserve"> В эту группу входят кредитные риски (включая товарные кредиты), риски неисполнения обязательств перед клиентом</w:t>
      </w:r>
      <w:r w:rsidR="00F70D13">
        <w:t>/контрагентом</w:t>
      </w:r>
      <w:r w:rsidR="00E23C8B">
        <w:t xml:space="preserve"> и неисполнения контрагентом </w:t>
      </w:r>
      <w:proofErr w:type="gramStart"/>
      <w:r w:rsidR="00E23C8B">
        <w:t>перед</w:t>
      </w:r>
      <w:proofErr w:type="gramEnd"/>
      <w:r w:rsidR="00E23C8B">
        <w:t xml:space="preserve"> исследуемым ХС</w:t>
      </w:r>
      <w:r w:rsidR="00F70D13" w:rsidRPr="00F70D13">
        <w:t xml:space="preserve"> </w:t>
      </w:r>
      <w:r w:rsidR="00F70D13">
        <w:t>своих обязательств</w:t>
      </w:r>
      <w:r w:rsidR="00E23C8B">
        <w:t>, основанных на законе, судебном решении или договоре, риски эмиссии обязательств любого рода и риски вложения в обязательства</w:t>
      </w:r>
      <w:r w:rsidR="00C560C5">
        <w:t xml:space="preserve"> контрагентов, принятие рисков по вкладам, долям участия и доверительному управлению имуществом и передач</w:t>
      </w:r>
      <w:r w:rsidR="00CE25F8">
        <w:t>а</w:t>
      </w:r>
      <w:r w:rsidR="00C560C5">
        <w:t xml:space="preserve"> таких рисков контрагенту, риски контрагентов по сделкам страхования, хеджирования рыночных рисков и т.п.</w:t>
      </w:r>
    </w:p>
    <w:p w:rsidR="00C560C5" w:rsidRDefault="00C560C5" w:rsidP="0003248E">
      <w:pPr>
        <w:ind w:firstLine="0"/>
        <w:jc w:val="both"/>
      </w:pPr>
      <w:r>
        <w:tab/>
      </w:r>
      <w:r w:rsidRPr="00832B4D">
        <w:rPr>
          <w:b/>
        </w:rPr>
        <w:t>2.</w:t>
      </w:r>
      <w:r>
        <w:t xml:space="preserve"> </w:t>
      </w:r>
      <w:r w:rsidRPr="00CE25F8">
        <w:rPr>
          <w:b/>
        </w:rPr>
        <w:t>Рыночные риски</w:t>
      </w:r>
      <w:r>
        <w:t>. В эту группу входят</w:t>
      </w:r>
      <w:r w:rsidR="00CE25F8">
        <w:t xml:space="preserve"> все риски изменения рыночных показателей и соотношений: процентные, валютные, курсовые, ценовые и прочие риски.</w:t>
      </w:r>
      <w:r w:rsidR="005A5952">
        <w:t xml:space="preserve"> Сюда же следует отнести риск отсутствия интереса рынка к заявке</w:t>
      </w:r>
      <w:r w:rsidR="001375EF">
        <w:t xml:space="preserve"> ХС</w:t>
      </w:r>
      <w:r w:rsidR="005A5952">
        <w:t xml:space="preserve"> на совершение транзакции (покупка или продажа) на устраивающих </w:t>
      </w:r>
      <w:r w:rsidR="001375EF">
        <w:t>его</w:t>
      </w:r>
      <w:r w:rsidR="005A5952">
        <w:t xml:space="preserve"> условиях.</w:t>
      </w:r>
      <w:r w:rsidR="003B42D4">
        <w:t xml:space="preserve"> Это может быть следствием недостаточного анализа рынка, неправильного</w:t>
      </w:r>
      <w:r w:rsidR="00832B4D">
        <w:t xml:space="preserve"> учета волатильности рыночных инструментов,</w:t>
      </w:r>
      <w:r w:rsidR="003B42D4">
        <w:t xml:space="preserve"> </w:t>
      </w:r>
      <w:r w:rsidR="00832B4D">
        <w:t xml:space="preserve">ошибочного </w:t>
      </w:r>
      <w:r w:rsidR="003B42D4">
        <w:t>планирования ценообразования, себестоимости и рентабельности.</w:t>
      </w:r>
    </w:p>
    <w:p w:rsidR="005A5952" w:rsidRDefault="005A5952" w:rsidP="0003248E">
      <w:pPr>
        <w:ind w:firstLine="0"/>
        <w:jc w:val="both"/>
      </w:pPr>
      <w:r>
        <w:tab/>
      </w:r>
      <w:r w:rsidRPr="00832B4D">
        <w:rPr>
          <w:b/>
        </w:rPr>
        <w:t>3.</w:t>
      </w:r>
      <w:r>
        <w:t xml:space="preserve"> </w:t>
      </w:r>
      <w:r w:rsidRPr="003B42D4">
        <w:rPr>
          <w:b/>
        </w:rPr>
        <w:t>Риски ликвидности</w:t>
      </w:r>
      <w:r w:rsidR="003B42D4">
        <w:t xml:space="preserve">. </w:t>
      </w:r>
      <w:r w:rsidR="00DF2B9A">
        <w:t xml:space="preserve">Недостаток ликвидности для ведения нормальной деятельности и потеря возможности продать бизнес (вложения) в короткие сроки. </w:t>
      </w:r>
      <w:r w:rsidR="003B42D4">
        <w:t xml:space="preserve">В эту группу входят риски </w:t>
      </w:r>
      <w:r w:rsidR="00DF2B9A">
        <w:t xml:space="preserve">использования </w:t>
      </w:r>
      <w:r w:rsidR="003B42D4">
        <w:t>неэффективной модели управления денежными потоками и</w:t>
      </w:r>
      <w:r w:rsidR="00DF2B9A">
        <w:t xml:space="preserve"> </w:t>
      </w:r>
      <w:r w:rsidR="003B42D4">
        <w:t>дебиторской/кредиторской задолженностью. Это может быть следствием неправильного бюджетирования, планирования обеспеченности ли</w:t>
      </w:r>
      <w:r w:rsidR="00DF2B9A">
        <w:t>к</w:t>
      </w:r>
      <w:r w:rsidR="003B42D4">
        <w:t xml:space="preserve">видными средствами, </w:t>
      </w:r>
      <w:r w:rsidR="00DF2B9A">
        <w:t>потери репутации кредитоспособного заемщика, платежеспособного  контрагента. Риски потери хозяйствующим субъектом и</w:t>
      </w:r>
      <w:r w:rsidR="00832B4D">
        <w:t>нвестиционной привлекательности, финансовой устойчивости.</w:t>
      </w:r>
      <w:r w:rsidR="001375EF">
        <w:t xml:space="preserve"> Риск несостоятельности и банкротства.</w:t>
      </w:r>
    </w:p>
    <w:p w:rsidR="00DF2B9A" w:rsidRDefault="00DF2B9A" w:rsidP="0003248E">
      <w:pPr>
        <w:ind w:firstLine="0"/>
        <w:jc w:val="both"/>
      </w:pPr>
      <w:r>
        <w:tab/>
      </w:r>
      <w:r w:rsidRPr="00832B4D">
        <w:rPr>
          <w:b/>
        </w:rPr>
        <w:t xml:space="preserve">4. </w:t>
      </w:r>
      <w:r w:rsidR="00832B4D" w:rsidRPr="00832B4D">
        <w:rPr>
          <w:b/>
        </w:rPr>
        <w:t>Операционны</w:t>
      </w:r>
      <w:r w:rsidR="00F70D13">
        <w:rPr>
          <w:b/>
        </w:rPr>
        <w:t>е</w:t>
      </w:r>
      <w:r w:rsidR="00832B4D" w:rsidRPr="00832B4D">
        <w:rPr>
          <w:b/>
        </w:rPr>
        <w:t xml:space="preserve"> риски</w:t>
      </w:r>
      <w:r w:rsidR="00832B4D">
        <w:rPr>
          <w:b/>
        </w:rPr>
        <w:t xml:space="preserve">. </w:t>
      </w:r>
      <w:r w:rsidR="001375EF" w:rsidRPr="001375EF">
        <w:t>Это риски</w:t>
      </w:r>
      <w:r w:rsidR="001375EF">
        <w:t xml:space="preserve"> потерь, связанные с недостаточной квалификацией исполнителей по </w:t>
      </w:r>
      <w:proofErr w:type="spellStart"/>
      <w:r w:rsidR="001375EF">
        <w:t>хоз</w:t>
      </w:r>
      <w:proofErr w:type="gramStart"/>
      <w:r w:rsidR="001375EF">
        <w:t>.о</w:t>
      </w:r>
      <w:proofErr w:type="gramEnd"/>
      <w:r w:rsidR="001375EF">
        <w:t>перациям</w:t>
      </w:r>
      <w:proofErr w:type="spellEnd"/>
      <w:r w:rsidR="001375EF">
        <w:t xml:space="preserve">, специалистов, поддерживающих бизнес-процессы. Риски неправильного разделения труда и распределения управленческих функций. </w:t>
      </w:r>
      <w:proofErr w:type="gramStart"/>
      <w:r w:rsidR="001375EF">
        <w:t>Вакуум-функции</w:t>
      </w:r>
      <w:proofErr w:type="gramEnd"/>
      <w:r w:rsidR="001375EF">
        <w:t>, дубль-функции, иные дефекты организационной структуры и системы управления (менеджмента) предприятия. Риски сбоев и простоя оборудования, риски</w:t>
      </w:r>
      <w:r w:rsidR="009F0C35">
        <w:t xml:space="preserve"> просчетов и ошибок служб материально-технического снабжения и обеспечения</w:t>
      </w:r>
      <w:r w:rsidR="00F70D13">
        <w:t>.</w:t>
      </w:r>
    </w:p>
    <w:p w:rsidR="006A62A5" w:rsidRDefault="006A62A5" w:rsidP="0003248E">
      <w:pPr>
        <w:ind w:firstLine="0"/>
        <w:jc w:val="both"/>
      </w:pPr>
      <w:r>
        <w:tab/>
      </w:r>
      <w:r w:rsidRPr="006A62A5">
        <w:rPr>
          <w:b/>
        </w:rPr>
        <w:t>5. Комплаенс-риски</w:t>
      </w:r>
      <w:r>
        <w:t>. Это риски</w:t>
      </w:r>
      <w:r w:rsidR="00BE5824">
        <w:t xml:space="preserve"> потерь, связанных с несоответствием способа ведения деятельности, ее отражения в учете/отчетности и раскрытия требованиям нормативно-правовых актов, правил</w:t>
      </w:r>
      <w:r w:rsidR="00F70D13">
        <w:t>ам</w:t>
      </w:r>
      <w:r w:rsidR="00BE5824">
        <w:t xml:space="preserve"> регуляторов, </w:t>
      </w:r>
      <w:r w:rsidR="00F70D13">
        <w:t xml:space="preserve">положениям актов </w:t>
      </w:r>
      <w:r w:rsidR="00BE5824">
        <w:t xml:space="preserve">ведомственных, отраслевых и иных надзорных/ контрольных органов. Сюда же относятся юридические риски, то есть риски потерь из-за невозможности защитить нарушенное право в судебных органах вследствие, допустим, </w:t>
      </w:r>
      <w:r w:rsidR="00BE5824">
        <w:lastRenderedPageBreak/>
        <w:t>нека</w:t>
      </w:r>
      <w:r w:rsidR="00621A33">
        <w:t>че</w:t>
      </w:r>
      <w:r w:rsidR="00BE5824">
        <w:t xml:space="preserve">ственно составленных договоров. Риски </w:t>
      </w:r>
      <w:r w:rsidR="00621A33">
        <w:t xml:space="preserve">признания </w:t>
      </w:r>
      <w:r w:rsidR="00F70D13">
        <w:t xml:space="preserve">обслуживающим </w:t>
      </w:r>
      <w:r w:rsidR="00621A33">
        <w:t>банком операций ХС, в качестве сомнительных</w:t>
      </w:r>
      <w:r w:rsidR="00177E54">
        <w:t>;</w:t>
      </w:r>
      <w:r w:rsidR="00621A33">
        <w:t xml:space="preserve"> риски регистрации в реестрах недостоверной информации об организации, ее учредителях, руководителях, реальных видах деятельности, реквизитах (адрес/телефон) и ее имуществе и т.д.</w:t>
      </w:r>
      <w:r w:rsidR="008D754F">
        <w:t xml:space="preserve"> Риски признания коммерческого банка недопустимо вовлеченным в сомнительные операции своих клиентов со стороны ЦБ РФ, риски нарушения обязательных нормативов и т.д. и т.п.</w:t>
      </w:r>
    </w:p>
    <w:p w:rsidR="00F70D13" w:rsidRPr="001375EF" w:rsidRDefault="00F70D13" w:rsidP="0003248E">
      <w:pPr>
        <w:ind w:firstLine="0"/>
        <w:jc w:val="both"/>
      </w:pPr>
      <w:r>
        <w:tab/>
        <w:t>Кроме того, существуют группы стратегических и информационных рисков, которые связаны с качеством стратегического планирования и информационной безопасностью хозяйствующего субъекта.</w:t>
      </w:r>
      <w:r w:rsidR="006E1A69">
        <w:t xml:space="preserve"> </w:t>
      </w:r>
      <w:proofErr w:type="spellStart"/>
      <w:r w:rsidR="006E1A69">
        <w:t>Страновые</w:t>
      </w:r>
      <w:proofErr w:type="spellEnd"/>
      <w:r w:rsidR="006E1A69">
        <w:t xml:space="preserve"> и системные риски мы не рассматриваем, поскольку они считаются </w:t>
      </w:r>
      <w:proofErr w:type="spellStart"/>
      <w:r w:rsidR="006E1A69">
        <w:t>недифференцируемыми</w:t>
      </w:r>
      <w:proofErr w:type="spellEnd"/>
      <w:r w:rsidR="006E1A69">
        <w:t>, т. е. не поддающимися управлению ХС.</w:t>
      </w:r>
    </w:p>
    <w:p w:rsidR="00776B05" w:rsidRDefault="00F70D13" w:rsidP="0003248E">
      <w:pPr>
        <w:ind w:firstLine="0"/>
        <w:jc w:val="both"/>
      </w:pPr>
      <w:r>
        <w:tab/>
      </w:r>
    </w:p>
    <w:p w:rsidR="00177E54" w:rsidRDefault="00177E54" w:rsidP="0003248E">
      <w:pPr>
        <w:ind w:firstLine="0"/>
        <w:jc w:val="both"/>
      </w:pPr>
      <w:r>
        <w:tab/>
      </w:r>
      <w:r w:rsidR="0003248E">
        <w:t>П</w:t>
      </w:r>
      <w:r>
        <w:t>риведем примеры декомпозиции рисков для наиболее типичных хозяйстве</w:t>
      </w:r>
      <w:r w:rsidR="00155ECC">
        <w:t>н</w:t>
      </w:r>
      <w:r>
        <w:t>ных операций.</w:t>
      </w:r>
      <w:r w:rsidR="00970C43">
        <w:t xml:space="preserve"> Повторяющиеся хозяйственные операции определя</w:t>
      </w:r>
      <w:r w:rsidR="00025753">
        <w:t>ю</w:t>
      </w:r>
      <w:r w:rsidR="00970C43">
        <w:t>т либо вид деятельности, либо постоянную функцию в системе управления ХС.</w:t>
      </w:r>
    </w:p>
    <w:p w:rsidR="00776B05" w:rsidRDefault="00776B05" w:rsidP="0003248E">
      <w:pPr>
        <w:ind w:firstLine="0"/>
        <w:jc w:val="both"/>
      </w:pPr>
    </w:p>
    <w:p w:rsidR="00C84407" w:rsidRDefault="00C84407" w:rsidP="0003248E">
      <w:pPr>
        <w:ind w:firstLine="1134"/>
        <w:jc w:val="both"/>
      </w:pPr>
      <w:r w:rsidRPr="009B120B">
        <w:rPr>
          <w:b/>
        </w:rPr>
        <w:t>1. Расходные операции</w:t>
      </w:r>
      <w:r>
        <w:t>:</w:t>
      </w:r>
    </w:p>
    <w:p w:rsidR="00155ECC" w:rsidRDefault="00C84407" w:rsidP="0003248E">
      <w:pPr>
        <w:ind w:firstLine="1134"/>
        <w:jc w:val="both"/>
      </w:pPr>
      <w:r>
        <w:t xml:space="preserve"> </w:t>
      </w:r>
      <w:r w:rsidR="00155ECC">
        <w:t>1.1. Ф</w:t>
      </w:r>
      <w:r>
        <w:t>инансирование  некапитальных вложений:  в товары (</w:t>
      </w:r>
      <w:proofErr w:type="spellStart"/>
      <w:r>
        <w:t>имущ</w:t>
      </w:r>
      <w:proofErr w:type="gramStart"/>
      <w:r>
        <w:t>.п</w:t>
      </w:r>
      <w:proofErr w:type="gramEnd"/>
      <w:r>
        <w:t>рава</w:t>
      </w:r>
      <w:proofErr w:type="spellEnd"/>
      <w:r>
        <w:t>, права требования, ценные бумаги, включая расходы на их приобретение) для перепродажи; в запасы сырья и полуфабрикатов, включаемых в себестоимость изготовления  продукции собственного производства; в работы по изготовлению продукции (</w:t>
      </w:r>
      <w:proofErr w:type="spellStart"/>
      <w:r w:rsidR="00155ECC">
        <w:t>толинг</w:t>
      </w:r>
      <w:proofErr w:type="spellEnd"/>
      <w:r>
        <w:t>), в услуги контрагентов и субподрядчиков, включаемые в себестоимость реализуемых тов</w:t>
      </w:r>
      <w:r w:rsidR="00155ECC">
        <w:t xml:space="preserve">аров, работ, услуг ХС &lt;код </w:t>
      </w:r>
      <w:r w:rsidR="00155ECC" w:rsidRPr="008D754F">
        <w:rPr>
          <w:rFonts w:ascii="Arial Narrow" w:hAnsi="Arial Narrow"/>
          <w:b/>
        </w:rPr>
        <w:t>РОД</w:t>
      </w:r>
      <w:r w:rsidR="00155ECC">
        <w:t>&gt;.</w:t>
      </w:r>
    </w:p>
    <w:p w:rsidR="00155ECC" w:rsidRDefault="00C57D85" w:rsidP="0003248E">
      <w:pPr>
        <w:ind w:firstLine="1134"/>
        <w:jc w:val="both"/>
      </w:pPr>
      <w:r>
        <w:t xml:space="preserve">1.1.1. </w:t>
      </w:r>
      <w:proofErr w:type="gramStart"/>
      <w:r w:rsidR="00155ECC">
        <w:t xml:space="preserve">Здесь, из группы </w:t>
      </w:r>
      <w:r w:rsidR="00155ECC" w:rsidRPr="00155ECC">
        <w:rPr>
          <w:i/>
        </w:rPr>
        <w:t>контрагентских</w:t>
      </w:r>
      <w:r w:rsidR="00155ECC">
        <w:t xml:space="preserve"> присутствуют риски: </w:t>
      </w:r>
      <w:r w:rsidR="00045DB8">
        <w:t>в случае</w:t>
      </w:r>
      <w:r w:rsidR="009768DF">
        <w:t xml:space="preserve"> покупки на условиях предоплаты – кредитный</w:t>
      </w:r>
      <w:r w:rsidR="00045DB8">
        <w:t xml:space="preserve"> риск</w:t>
      </w:r>
      <w:r w:rsidR="009768DF">
        <w:t>; риск исполнения поставщиком/</w:t>
      </w:r>
      <w:r w:rsidR="00045DB8">
        <w:t xml:space="preserve"> </w:t>
      </w:r>
      <w:r w:rsidR="009768DF">
        <w:t xml:space="preserve">подрядчиком принятых на себя обязательств по качеству, количеству и срокам; </w:t>
      </w:r>
      <w:r w:rsidR="00045DB8">
        <w:t>если покупка происходит в корреспонденции с поставкой (посредничество без помещения на свой склад) то сразу, в момент покупки присутствуют риски исполнения своих обязательств ХС уже перед покупателем этого товара.</w:t>
      </w:r>
      <w:proofErr w:type="gramEnd"/>
    </w:p>
    <w:p w:rsidR="00F96175" w:rsidRDefault="00045DB8" w:rsidP="0003248E">
      <w:pPr>
        <w:ind w:firstLine="1134"/>
        <w:jc w:val="both"/>
      </w:pPr>
      <w:r>
        <w:t>В чем заключается декомпозиция кредитного риска в конкретном случае? Допустим, мы переводи</w:t>
      </w:r>
      <w:r w:rsidR="004D4542">
        <w:t>м</w:t>
      </w:r>
      <w:r>
        <w:t xml:space="preserve"> предоплату, которая составляет величину, соизмеримую</w:t>
      </w:r>
      <w:r w:rsidR="00F96175">
        <w:t xml:space="preserve"> (больше 50%)</w:t>
      </w:r>
      <w:r>
        <w:t xml:space="preserve"> с размером собственных средств (чистые активы баланса) поставщика. </w:t>
      </w:r>
      <w:r w:rsidR="00F96175">
        <w:t>В таком случае с</w:t>
      </w:r>
      <w:r>
        <w:t>ледует позаботи</w:t>
      </w:r>
      <w:r w:rsidR="00F96175">
        <w:t>т</w:t>
      </w:r>
      <w:r>
        <w:t>ься о дополнительном обеспечении (кроме собственного имущества) обязательств должника, например банковская гарантия и</w:t>
      </w:r>
      <w:r w:rsidR="00F96175">
        <w:t>ли</w:t>
      </w:r>
      <w:r>
        <w:t xml:space="preserve"> ручательство кр</w:t>
      </w:r>
      <w:r w:rsidR="00F96175">
        <w:t>упн</w:t>
      </w:r>
      <w:r>
        <w:t>ой ком</w:t>
      </w:r>
      <w:r w:rsidR="00F96175">
        <w:t>п</w:t>
      </w:r>
      <w:r>
        <w:t>ании, для которой такой риск несущественен.</w:t>
      </w:r>
      <w:r w:rsidR="00F96175">
        <w:t xml:space="preserve"> Следовательно, в системе управления бизнес-процессами ХС должна быть предусмотрена функция, посвященная анализу имущественного состояния должника, возможности/намерениям платить по обязательствам и  оценке достаточности обеспечения, хотя бы в минимальном виде.</w:t>
      </w:r>
    </w:p>
    <w:p w:rsidR="00045DB8" w:rsidRDefault="00F96175" w:rsidP="0003248E">
      <w:pPr>
        <w:ind w:firstLine="1134"/>
        <w:jc w:val="both"/>
      </w:pPr>
      <w:r>
        <w:t>Далее, для управления риском исполнения поставщиком своих обязательств по срокам, количес</w:t>
      </w:r>
      <w:r w:rsidR="00760F9F">
        <w:t>тв</w:t>
      </w:r>
      <w:r>
        <w:t xml:space="preserve">у и качеству необходим функционал (специалисты и системы/методы/способы) для оценки профессиональных возможностей </w:t>
      </w:r>
      <w:r w:rsidRPr="00760F9F">
        <w:t>пост</w:t>
      </w:r>
      <w:r w:rsidR="00760F9F">
        <w:t>а</w:t>
      </w:r>
      <w:r w:rsidRPr="00760F9F">
        <w:t>вщика обеспечить поставку (</w:t>
      </w:r>
      <w:r w:rsidR="0003248E">
        <w:t xml:space="preserve">на мониторинге: </w:t>
      </w:r>
      <w:r w:rsidRPr="00760F9F">
        <w:t>история, репутаци</w:t>
      </w:r>
      <w:r w:rsidR="00760F9F">
        <w:t>я</w:t>
      </w:r>
      <w:r w:rsidRPr="00760F9F">
        <w:t>, квалификация на рынке</w:t>
      </w:r>
      <w:r w:rsidR="00760F9F">
        <w:t xml:space="preserve"> и т.д.</w:t>
      </w:r>
      <w:r w:rsidRPr="00760F9F">
        <w:t>).</w:t>
      </w:r>
      <w:r>
        <w:t xml:space="preserve"> </w:t>
      </w:r>
      <w:r w:rsidR="00760F9F">
        <w:t>Следовательно, в системе управления ХС должны присутствовать элементы этого функционала, в любом виде и, хотя бы, в самом минимальном объеме.</w:t>
      </w:r>
    </w:p>
    <w:p w:rsidR="00760F9F" w:rsidRDefault="00760F9F" w:rsidP="0003248E">
      <w:pPr>
        <w:ind w:firstLine="1134"/>
        <w:jc w:val="both"/>
      </w:pPr>
      <w:r>
        <w:t>Если товар закупается непосредственно под заказ покупателя</w:t>
      </w:r>
      <w:r w:rsidR="0003248E">
        <w:t xml:space="preserve">, то уже в момент покупки присутствует риск неисполнения обязательств перед покупателем. Значит должен присутствовать функционал (ответственные лица, способы/механизмы/технологические порядки), поддерживающий управление таким риском. Например, учет неисполненных позиций по поставкам, чтобы обеспечить первоочередную </w:t>
      </w:r>
      <w:r w:rsidR="00B87565">
        <w:t>за</w:t>
      </w:r>
      <w:r w:rsidR="0003248E">
        <w:t>купку именно этих позиций.</w:t>
      </w:r>
      <w:r w:rsidR="004D0502">
        <w:t xml:space="preserve"> Если поставка осуществляется с гарантиями по качеству, значит должен быть предусмотрен функционал, отвечающий за поддержание гарантийного (обменного)  фонда, страхования технологической ответственности и т.д.</w:t>
      </w:r>
    </w:p>
    <w:p w:rsidR="0003248E" w:rsidRDefault="0003248E" w:rsidP="0003248E">
      <w:pPr>
        <w:ind w:firstLine="1134"/>
        <w:jc w:val="both"/>
      </w:pPr>
      <w:r>
        <w:t xml:space="preserve">Дальнейшая декомпозиция проводится исходя из конкретной предметной области исполняемых договоров, сектора рынка, специфики поставляемых товаров, выполняемых работ и </w:t>
      </w:r>
      <w:r w:rsidR="00B87565">
        <w:t xml:space="preserve">оказываемых </w:t>
      </w:r>
      <w:r>
        <w:t>услуг.</w:t>
      </w:r>
    </w:p>
    <w:p w:rsidR="0003248E" w:rsidRDefault="00C57D85" w:rsidP="0003248E">
      <w:pPr>
        <w:ind w:firstLine="1134"/>
        <w:jc w:val="both"/>
      </w:pPr>
      <w:r>
        <w:t xml:space="preserve">1.1.2. </w:t>
      </w:r>
      <w:proofErr w:type="gramStart"/>
      <w:r w:rsidR="0003248E">
        <w:t xml:space="preserve">Из группы </w:t>
      </w:r>
      <w:r w:rsidR="0003248E" w:rsidRPr="00B87565">
        <w:rPr>
          <w:i/>
        </w:rPr>
        <w:t xml:space="preserve">рыночных </w:t>
      </w:r>
      <w:r w:rsidR="0003248E" w:rsidRPr="003F5908">
        <w:t>рисков</w:t>
      </w:r>
      <w:r w:rsidR="00B87565" w:rsidRPr="003F5908">
        <w:t xml:space="preserve"> </w:t>
      </w:r>
      <w:r w:rsidR="00B87565">
        <w:t>здесь присутствуют</w:t>
      </w:r>
      <w:r w:rsidR="00886785">
        <w:t xml:space="preserve"> риски </w:t>
      </w:r>
      <w:r w:rsidR="003A611F">
        <w:t>неудачной бизнес-модели</w:t>
      </w:r>
      <w:r w:rsidR="005279D4">
        <w:t xml:space="preserve"> (позиционирование на рынке)</w:t>
      </w:r>
      <w:r w:rsidR="003A611F">
        <w:t xml:space="preserve">, </w:t>
      </w:r>
      <w:r w:rsidR="00D323C2">
        <w:t>ошибоч</w:t>
      </w:r>
      <w:r w:rsidR="003A611F">
        <w:t xml:space="preserve">ного </w:t>
      </w:r>
      <w:r w:rsidR="003A611F" w:rsidRPr="005279D4">
        <w:t>маркетинга,</w:t>
      </w:r>
      <w:r w:rsidR="003A611F">
        <w:t xml:space="preserve"> </w:t>
      </w:r>
      <w:r w:rsidR="005279D4">
        <w:t>которые более присущи деятельности, так или иначе связанной с формированием запасов (сырье, материалы, готовая продукция), складские запасы товаров (портфели активов) для перепродажи, риски обязательств в инвалюте по импорту не сбалансированные требованиями в валюте (открытая валютная позиция) и т.д.</w:t>
      </w:r>
      <w:proofErr w:type="gramEnd"/>
      <w:r w:rsidR="005279D4">
        <w:t xml:space="preserve"> Для учета и управления этой группой рисков необходимы специалисты по маркетингу конкретной группы товаров (портфеля активов), который является предметом деятельности исследуемого ХС, необходимы специалисты по хеджированию валютных рисков в случае неизбежности открытой валютной позиции</w:t>
      </w:r>
      <w:r w:rsidR="004D0502">
        <w:t xml:space="preserve"> и т.д.</w:t>
      </w:r>
    </w:p>
    <w:p w:rsidR="00553931" w:rsidRDefault="00C57D85" w:rsidP="0003248E">
      <w:pPr>
        <w:ind w:firstLine="1134"/>
        <w:jc w:val="both"/>
      </w:pPr>
      <w:r>
        <w:t xml:space="preserve">1.1.3. </w:t>
      </w:r>
      <w:r w:rsidR="006741C3">
        <w:t xml:space="preserve">Из группы </w:t>
      </w:r>
      <w:r w:rsidR="008500EE" w:rsidRPr="003F5908">
        <w:t>рисков</w:t>
      </w:r>
      <w:r w:rsidR="008500EE" w:rsidRPr="00DE5770">
        <w:rPr>
          <w:i/>
        </w:rPr>
        <w:t xml:space="preserve"> ликвидности</w:t>
      </w:r>
      <w:r w:rsidR="008500EE">
        <w:t xml:space="preserve"> мы имеем здесь</w:t>
      </w:r>
      <w:r w:rsidR="00D45FEA">
        <w:t xml:space="preserve"> угрозу потери рентабельности из-за недостаточно просчитанной экономической нормативной базы и бюджетирования расходов или недостаточной дисциплины их исполнения. </w:t>
      </w:r>
      <w:proofErr w:type="gramStart"/>
      <w:r w:rsidR="0076413C">
        <w:t>Тоже касается управления срочной и текущей ликвидными позициями: предложения/поступления ликвидности по срокам</w:t>
      </w:r>
      <w:r w:rsidR="006741C3">
        <w:t xml:space="preserve"> </w:t>
      </w:r>
      <w:r w:rsidR="0076413C">
        <w:t>должно сочетаться с потребностями ХС для производства плановых платежей и расчетов по насупившим в силу по срокам обязательств.</w:t>
      </w:r>
      <w:proofErr w:type="gramEnd"/>
      <w:r w:rsidR="0076413C">
        <w:t xml:space="preserve"> </w:t>
      </w:r>
      <w:r w:rsidR="00553931">
        <w:t xml:space="preserve">Необходимо также нормировать запасы и контролировать состояние дебиторской задолженности. </w:t>
      </w:r>
      <w:r w:rsidR="0076413C">
        <w:t>Для управления такими рисками необходимы органы управления и</w:t>
      </w:r>
      <w:r w:rsidR="00553931">
        <w:t xml:space="preserve"> (или)</w:t>
      </w:r>
      <w:r w:rsidR="0076413C">
        <w:t xml:space="preserve"> специалисты с функциями планово-экономической службы</w:t>
      </w:r>
      <w:r w:rsidR="00553931">
        <w:t xml:space="preserve">, </w:t>
      </w:r>
      <w:r w:rsidR="0076413C">
        <w:t>казначейства</w:t>
      </w:r>
      <w:r w:rsidR="00553931">
        <w:t xml:space="preserve"> и внутреннего финансового контроля /аудита</w:t>
      </w:r>
      <w:r w:rsidR="0076413C">
        <w:t>.</w:t>
      </w:r>
      <w:r w:rsidR="00553931">
        <w:t xml:space="preserve"> Если службы/специалисты с таким функционалом отсутствуют в системе управления ХС, следует осуществить поиск возможного внешнего центра принятия решения и выработки соответствующих управляющих воздействий, затем скорректировать вывод о существе хозяйственных операций, проводимых исследуемым ХС. Если, допустим, закупки идут без оглядки на риски ликвидности, вполне возможно</w:t>
      </w:r>
      <w:r w:rsidR="005E0B88">
        <w:t>,</w:t>
      </w:r>
      <w:r w:rsidR="00553931">
        <w:t xml:space="preserve"> что осуществляется скрытая агентская закупочная деятельность или применятся иная договорная схема.</w:t>
      </w:r>
    </w:p>
    <w:p w:rsidR="001B64DB" w:rsidRDefault="00C57D85" w:rsidP="0003248E">
      <w:pPr>
        <w:ind w:firstLine="1134"/>
        <w:jc w:val="both"/>
      </w:pPr>
      <w:r>
        <w:t xml:space="preserve">1.1.4. </w:t>
      </w:r>
      <w:r w:rsidR="0076413C">
        <w:t>Из группы</w:t>
      </w:r>
      <w:r w:rsidR="00DE5770">
        <w:t xml:space="preserve"> </w:t>
      </w:r>
      <w:r w:rsidR="00DE5770" w:rsidRPr="00DE5770">
        <w:rPr>
          <w:i/>
        </w:rPr>
        <w:t xml:space="preserve">операционных </w:t>
      </w:r>
      <w:r w:rsidR="00DE5770" w:rsidRPr="003F5908">
        <w:t>рисков</w:t>
      </w:r>
      <w:r w:rsidR="00DE5770" w:rsidRPr="00DE5770">
        <w:rPr>
          <w:i/>
        </w:rPr>
        <w:t xml:space="preserve"> </w:t>
      </w:r>
      <w:r w:rsidR="00DE5770">
        <w:t>следует обратить внимание на угрозу</w:t>
      </w:r>
      <w:r w:rsidR="00065AE5">
        <w:t xml:space="preserve"> потерь, вытекающих из недостаточной квалификации персонала, занимающихся управлением, бизнес-процессами и решением прочих рисков.</w:t>
      </w:r>
      <w:r w:rsidR="003F5908">
        <w:t xml:space="preserve"> Или на использование несовершенных и устаревших технологий, в особенности, информационных. </w:t>
      </w:r>
      <w:r w:rsidR="00DD145A">
        <w:t xml:space="preserve">Данный функционал требует присутствия в системе управления предприятием службы/специалистов, ответственных за уровень квалификации нанятых и принимаемых на работу менеджеров, за информационную безопасность, за автоматизацию бухгалтерского и управленческого учетов, за технологический аудит бизнес-процессов, за сбор информации о контрагентах, </w:t>
      </w:r>
      <w:r w:rsidR="00C323DC">
        <w:t>внешней и внутренней ситуации по рискам и т.д.</w:t>
      </w:r>
      <w:r w:rsidR="00F46D49">
        <w:t xml:space="preserve"> и т.п.</w:t>
      </w:r>
      <w:r w:rsidR="00C323DC">
        <w:t xml:space="preserve"> В принципе, такие задачи обыкновенно отдают на откуп </w:t>
      </w:r>
      <w:proofErr w:type="spellStart"/>
      <w:r w:rsidR="00C323DC">
        <w:t>аутсорсинговым</w:t>
      </w:r>
      <w:proofErr w:type="spellEnd"/>
      <w:r w:rsidR="00C323DC">
        <w:t xml:space="preserve"> организациям и об этом в данных по деятельности ХС обязательно должна присутствовать информация.</w:t>
      </w:r>
      <w:r w:rsidR="00DD145A">
        <w:t xml:space="preserve"> </w:t>
      </w:r>
      <w:r w:rsidR="00CD6DF3">
        <w:t>В противном случае (если такие ф</w:t>
      </w:r>
      <w:r w:rsidR="00F46D49">
        <w:t>у</w:t>
      </w:r>
      <w:r w:rsidR="00CD6DF3">
        <w:t>нк</w:t>
      </w:r>
      <w:r w:rsidR="00F46D49">
        <w:t>ц</w:t>
      </w:r>
      <w:r w:rsidR="00CD6DF3">
        <w:t>ии исполняются каким-то внешним исполнителем безвозмездно</w:t>
      </w:r>
      <w:r w:rsidR="00F46D49">
        <w:t xml:space="preserve"> или без договора с четким разграничением ответственности)</w:t>
      </w:r>
      <w:r w:rsidR="00CD6DF3">
        <w:t xml:space="preserve"> можно говорить о</w:t>
      </w:r>
      <w:r w:rsidR="00F46D49">
        <w:t>б угрозе подчиненности интересов исследуемого ХС интересам третьих лиц. В крупных официальных холдингах (группа компаний, взаимосвязанных по капиталу) данные функции обычно централизуют (</w:t>
      </w:r>
      <w:proofErr w:type="spellStart"/>
      <w:r w:rsidR="00F46D49">
        <w:t>инсорсинг</w:t>
      </w:r>
      <w:proofErr w:type="spellEnd"/>
      <w:r w:rsidR="00F46D49">
        <w:t>), но делается это также официально</w:t>
      </w:r>
      <w:r w:rsidR="001B64DB">
        <w:t>, с принятием какого-либо регламента</w:t>
      </w:r>
      <w:r w:rsidR="00F46D49">
        <w:t>: либо на основан</w:t>
      </w:r>
      <w:r w:rsidR="002E6E89">
        <w:t xml:space="preserve">ии решения материнской компании, либо по </w:t>
      </w:r>
      <w:r w:rsidR="00F46D49">
        <w:t>гражданско-правово</w:t>
      </w:r>
      <w:r w:rsidR="002E6E89">
        <w:t>му</w:t>
      </w:r>
      <w:r w:rsidR="00F46D49">
        <w:t xml:space="preserve"> договор</w:t>
      </w:r>
      <w:r w:rsidR="002E6E89">
        <w:t>у</w:t>
      </w:r>
      <w:r w:rsidR="00F46D49">
        <w:t xml:space="preserve">. </w:t>
      </w:r>
      <w:proofErr w:type="gramStart"/>
      <w:r w:rsidR="001B64DB">
        <w:t>Отсутствие информации о принятых операционных рисках (о системе их учета и управления) может быть допустимо только для малых предприятий и индивидуальных предпринимателей</w:t>
      </w:r>
      <w:r w:rsidR="00F14E23">
        <w:t>, во всех остальных случаях это является признаком наличия внешнего (по отношению к исследуемому ХС) центра управления и принятия решений в отношении кадров, безопасности и технологий</w:t>
      </w:r>
      <w:r w:rsidR="001B64DB">
        <w:t>.</w:t>
      </w:r>
      <w:proofErr w:type="gramEnd"/>
    </w:p>
    <w:p w:rsidR="00C84407" w:rsidRDefault="00C57D85" w:rsidP="0003248E">
      <w:pPr>
        <w:ind w:firstLine="1134"/>
        <w:jc w:val="both"/>
      </w:pPr>
      <w:r>
        <w:t xml:space="preserve">1.1.5. </w:t>
      </w:r>
      <w:r w:rsidR="001B64DB">
        <w:t xml:space="preserve">Из группы </w:t>
      </w:r>
      <w:r w:rsidR="001B64DB" w:rsidRPr="001B64DB">
        <w:rPr>
          <w:i/>
        </w:rPr>
        <w:t>комплаенс</w:t>
      </w:r>
      <w:r w:rsidR="001B64DB">
        <w:t>-рисков</w:t>
      </w:r>
      <w:r w:rsidR="00250C61">
        <w:t xml:space="preserve"> при закупках для производства или перепродажи</w:t>
      </w:r>
      <w:r w:rsidR="00C85474">
        <w:t xml:space="preserve"> наиболее ярко может быть выражен риск несоответствия правилам для ХС, занимающихся лицензированными или сертифицированными видами деятельности. </w:t>
      </w:r>
      <w:r w:rsidR="00736217">
        <w:t xml:space="preserve">Для таких видов деятельности обязательно наличие специализированных служб, учетов и специалистов в составе </w:t>
      </w:r>
      <w:proofErr w:type="spellStart"/>
      <w:r w:rsidR="00736217">
        <w:t>оргструктуры</w:t>
      </w:r>
      <w:proofErr w:type="spellEnd"/>
      <w:r w:rsidR="00736217">
        <w:t xml:space="preserve"> управления ХС. </w:t>
      </w:r>
      <w:r w:rsidR="00C85474">
        <w:t>В общем случае</w:t>
      </w:r>
      <w:r w:rsidR="00736217">
        <w:t>,</w:t>
      </w:r>
      <w:r w:rsidR="00C85474">
        <w:t xml:space="preserve"> учет этих рисков требует наличия, как минимум одного юрисконсульта (или юридической службы для полноценных предприятий) и одного бухгалтера (бухгалтерского подразделения). В обоих случаях </w:t>
      </w:r>
      <w:proofErr w:type="gramStart"/>
      <w:r w:rsidR="00C85474">
        <w:t>возможен</w:t>
      </w:r>
      <w:proofErr w:type="gramEnd"/>
      <w:r w:rsidR="00C85474">
        <w:t xml:space="preserve"> аутсорсинг. В холдинговых структурах </w:t>
      </w:r>
      <w:proofErr w:type="gramStart"/>
      <w:r w:rsidR="00C85474">
        <w:t>возможен</w:t>
      </w:r>
      <w:proofErr w:type="gramEnd"/>
      <w:r w:rsidR="00C85474">
        <w:t xml:space="preserve"> </w:t>
      </w:r>
      <w:proofErr w:type="spellStart"/>
      <w:r w:rsidR="00C85474">
        <w:t>инсорсинг</w:t>
      </w:r>
      <w:proofErr w:type="spellEnd"/>
      <w:r w:rsidR="00C85474">
        <w:t>, но на базе официальных документов. Повсеместно массовое воздействие на деятельность ХС, особенно в сфере малого бизнеса и ИП, оказывают требования банковского комплаенса.</w:t>
      </w:r>
      <w:r w:rsidR="002E6E89">
        <w:t xml:space="preserve"> </w:t>
      </w:r>
      <w:r w:rsidR="004F45BC">
        <w:t xml:space="preserve">Для </w:t>
      </w:r>
      <w:r w:rsidR="00736217">
        <w:t xml:space="preserve">достижения </w:t>
      </w:r>
      <w:r w:rsidR="004F45BC">
        <w:t xml:space="preserve">соответствия критериям банка </w:t>
      </w:r>
      <w:r w:rsidR="00736217">
        <w:t>по</w:t>
      </w:r>
      <w:r w:rsidR="004F45BC">
        <w:t xml:space="preserve"> «несомнительны</w:t>
      </w:r>
      <w:r w:rsidR="00736217">
        <w:t>м</w:t>
      </w:r>
      <w:r w:rsidR="004F45BC">
        <w:t>» клиент</w:t>
      </w:r>
      <w:r w:rsidR="00736217">
        <w:t>ам</w:t>
      </w:r>
      <w:r w:rsidR="004F45BC">
        <w:t xml:space="preserve"> малые предприятия, подчас, намеренно арендуют офис и содержат секретарского работника, даже когда это объективно не нужно с точки зрения задач, допустим, </w:t>
      </w:r>
      <w:proofErr w:type="gramStart"/>
      <w:r w:rsidR="004F45BC">
        <w:t>интернет-бизнеса</w:t>
      </w:r>
      <w:proofErr w:type="gramEnd"/>
      <w:r w:rsidR="004F45BC">
        <w:t>. В этой связи декомпозиция комплаенс-риска мало информативна, но необходимость следовать правилам и требованиям часто используется управляющими для обоснования</w:t>
      </w:r>
      <w:r w:rsidR="001B64DB">
        <w:t xml:space="preserve"> </w:t>
      </w:r>
      <w:r w:rsidR="004F45BC">
        <w:t xml:space="preserve">заказа различных </w:t>
      </w:r>
      <w:proofErr w:type="spellStart"/>
      <w:r w:rsidR="004F45BC">
        <w:t>аутсорсинговых</w:t>
      </w:r>
      <w:proofErr w:type="spellEnd"/>
      <w:r w:rsidR="004F45BC">
        <w:t xml:space="preserve"> услуг</w:t>
      </w:r>
      <w:r w:rsidR="00736217">
        <w:t>, избыточных с точки зрения задач, которые</w:t>
      </w:r>
      <w:r w:rsidR="001B64DB">
        <w:t xml:space="preserve"> </w:t>
      </w:r>
      <w:r w:rsidR="00CD6DF3">
        <w:t xml:space="preserve"> </w:t>
      </w:r>
      <w:r w:rsidR="00736217">
        <w:t>объективно необходимо решать для достижения интересов управляемого ХС.</w:t>
      </w:r>
      <w:r w:rsidR="00C84407">
        <w:t xml:space="preserve"> </w:t>
      </w:r>
      <w:r w:rsidR="00AA30E8">
        <w:t xml:space="preserve">И здесь надо отдельно </w:t>
      </w:r>
      <w:proofErr w:type="gramStart"/>
      <w:r w:rsidR="00AA30E8">
        <w:t>разбираться</w:t>
      </w:r>
      <w:proofErr w:type="gramEnd"/>
      <w:r w:rsidR="00AA30E8">
        <w:t xml:space="preserve"> в чьих интересах это делается.</w:t>
      </w:r>
    </w:p>
    <w:p w:rsidR="00A32467" w:rsidRDefault="00155ECC" w:rsidP="0003248E">
      <w:pPr>
        <w:ind w:firstLine="1134"/>
        <w:jc w:val="both"/>
      </w:pPr>
      <w:r w:rsidRPr="00825FD8">
        <w:rPr>
          <w:b/>
        </w:rPr>
        <w:t>1.2.</w:t>
      </w:r>
      <w:r>
        <w:t xml:space="preserve"> Ф</w:t>
      </w:r>
      <w:r w:rsidR="00C84407">
        <w:t xml:space="preserve">инансирование рисков (страхование, хеджирование, покупка срочных финансовых инструментов, свопы, </w:t>
      </w:r>
      <w:proofErr w:type="spellStart"/>
      <w:r w:rsidR="00C84407">
        <w:t>репо</w:t>
      </w:r>
      <w:proofErr w:type="spellEnd"/>
      <w:r w:rsidR="00C84407">
        <w:t>; создание резервов на собствен</w:t>
      </w:r>
      <w:r w:rsidR="00736217">
        <w:t xml:space="preserve">ном  балансе и т.д.), &lt;код ФУР&gt;. </w:t>
      </w:r>
    </w:p>
    <w:p w:rsidR="00C84407" w:rsidRDefault="00A32467" w:rsidP="0003248E">
      <w:pPr>
        <w:ind w:firstLine="1134"/>
        <w:jc w:val="both"/>
      </w:pPr>
      <w:r>
        <w:t xml:space="preserve">1.2.1. </w:t>
      </w:r>
      <w:r w:rsidR="00C84407">
        <w:t xml:space="preserve"> </w:t>
      </w:r>
      <w:r w:rsidRPr="00A32467">
        <w:t xml:space="preserve">Из группы </w:t>
      </w:r>
      <w:r w:rsidR="00C72991" w:rsidRPr="00EB6488">
        <w:rPr>
          <w:i/>
        </w:rPr>
        <w:t>контрагентских</w:t>
      </w:r>
      <w:r w:rsidRPr="00A32467">
        <w:t xml:space="preserve"> рисков здесь присутствуют</w:t>
      </w:r>
      <w:r w:rsidR="00C72991">
        <w:t xml:space="preserve"> возможные проблемы с выбором брокера</w:t>
      </w:r>
      <w:bookmarkStart w:id="0" w:name="_GoBack"/>
      <w:bookmarkEnd w:id="0"/>
      <w:r w:rsidR="00C72991">
        <w:t xml:space="preserve"> или дилера по сделке </w:t>
      </w:r>
      <w:proofErr w:type="gramStart"/>
      <w:r w:rsidR="00C72991">
        <w:t>с</w:t>
      </w:r>
      <w:proofErr w:type="gramEnd"/>
      <w:r w:rsidR="00C72991">
        <w:t xml:space="preserve"> срочными финансовыми инструментами. Особенно если сделка внебиржевая. Вообще, все сделки с валютированием</w:t>
      </w:r>
      <w:r w:rsidR="00EB6488">
        <w:t xml:space="preserve"> (расчетами)</w:t>
      </w:r>
      <w:r w:rsidR="00C72991">
        <w:t xml:space="preserve"> в виде вы</w:t>
      </w:r>
      <w:r w:rsidR="00EB6488">
        <w:t>пла</w:t>
      </w:r>
      <w:r w:rsidR="00C72991">
        <w:t>ты выигры</w:t>
      </w:r>
      <w:r w:rsidR="00EB6488">
        <w:t>ш</w:t>
      </w:r>
      <w:r w:rsidR="00C72991">
        <w:t>ной разницы</w:t>
      </w:r>
      <w:r w:rsidR="00EB6488">
        <w:t>, как правило, имеют длительный срок исполнения с момента уплаты дилеру премии. Важно удостовериться, что контрагент будет платежеспособен к моменту валютирования. Особенно, если он в срочной сделке принял на себя риск многих клиентов и в силу рыночных обстоятельств от него потребовали валютирования (или поставки базового актива) в существенном объеме. Если он не перестраховывался, то могут возникнуть проблемы с получением выигрыша или исполнени</w:t>
      </w:r>
      <w:r w:rsidR="00AA30E8">
        <w:t>ем</w:t>
      </w:r>
      <w:r w:rsidR="00EB6488">
        <w:t xml:space="preserve"> поставки. Тогда</w:t>
      </w:r>
      <w:r w:rsidR="00D1146C">
        <w:t>,</w:t>
      </w:r>
      <w:r w:rsidR="00EB6488">
        <w:t xml:space="preserve"> ранее </w:t>
      </w:r>
      <w:proofErr w:type="spellStart"/>
      <w:r w:rsidR="00EB6488">
        <w:t>захеджированный</w:t>
      </w:r>
      <w:proofErr w:type="spellEnd"/>
      <w:r w:rsidR="00EB6488">
        <w:t xml:space="preserve"> рыночный риск ХС</w:t>
      </w:r>
      <w:r w:rsidR="00D1146C">
        <w:t>,</w:t>
      </w:r>
      <w:r w:rsidR="00EB6488">
        <w:t xml:space="preserve"> окажется по факту не застрахованным. Это может привести к серьезным потерям.</w:t>
      </w:r>
      <w:r w:rsidR="00D1146C">
        <w:t xml:space="preserve"> Как правило, хеджирование своих рисков ХС не проводит одноразово или эпизодически. Такая деятельность осуществляется систематически и институционально. Для этого нужна служба или соглашение с известным брокером. Если Вы фиксируете сделки ХС такого рода и не обнаруживаете в структуре его  управления присутствия финансовых аналитиков (специалистов по </w:t>
      </w:r>
      <w:proofErr w:type="spellStart"/>
      <w:r w:rsidR="00D1146C">
        <w:t>деривативам</w:t>
      </w:r>
      <w:proofErr w:type="spellEnd"/>
      <w:r w:rsidR="00D1146C">
        <w:t>, например) и, также, отсутствуют договоры с известными брокерами, скорее всего ХС в этой части исполняет роль номинальной стороны, т е действует в интересах третьих лиц.</w:t>
      </w:r>
    </w:p>
    <w:p w:rsidR="00D1146C" w:rsidRDefault="00D1146C" w:rsidP="0003248E">
      <w:pPr>
        <w:ind w:firstLine="1134"/>
        <w:jc w:val="both"/>
      </w:pPr>
      <w:r>
        <w:t xml:space="preserve">1.2.2. В отношении группы </w:t>
      </w:r>
      <w:r w:rsidRPr="00D1146C">
        <w:rPr>
          <w:i/>
        </w:rPr>
        <w:t>рыночных</w:t>
      </w:r>
      <w:r>
        <w:t xml:space="preserve"> рисков. Здесь следует обратить внимание на то, имелась ли вообще предпосылка у ХС для совершения такого рода сделок. Действительно ли присутств</w:t>
      </w:r>
      <w:r w:rsidR="0032778B">
        <w:t xml:space="preserve">ует в операциях </w:t>
      </w:r>
      <w:r w:rsidR="00B36A24">
        <w:t xml:space="preserve">действующего </w:t>
      </w:r>
      <w:r w:rsidR="0032778B">
        <w:t xml:space="preserve">бизнес-процесса ХС риск (валютный, процентный, ценовой), который требует страхования/резервирования и пригоден для этого? Если объективных предпосылок для этого нет, то можно </w:t>
      </w:r>
      <w:r w:rsidR="00B36A24">
        <w:t xml:space="preserve">говорить о наличии в этом случае </w:t>
      </w:r>
      <w:r w:rsidR="0032778B">
        <w:t>признак</w:t>
      </w:r>
      <w:r w:rsidR="00B36A24">
        <w:t>ов</w:t>
      </w:r>
      <w:r w:rsidR="0032778B">
        <w:t xml:space="preserve"> договорной схемы, даже </w:t>
      </w:r>
      <w:r w:rsidR="00B36A24">
        <w:t>если</w:t>
      </w:r>
      <w:r w:rsidR="0032778B">
        <w:t xml:space="preserve"> </w:t>
      </w:r>
      <w:r w:rsidR="00E24189">
        <w:t xml:space="preserve">и </w:t>
      </w:r>
      <w:r w:rsidR="0032778B">
        <w:t>присутств</w:t>
      </w:r>
      <w:r w:rsidR="00B36A24">
        <w:t>уют</w:t>
      </w:r>
      <w:r w:rsidR="0032778B">
        <w:t xml:space="preserve"> соответс</w:t>
      </w:r>
      <w:r w:rsidR="00B36A24">
        <w:t>т</w:t>
      </w:r>
      <w:r w:rsidR="0032778B">
        <w:t>вующи</w:t>
      </w:r>
      <w:r w:rsidR="00B36A24">
        <w:t>е</w:t>
      </w:r>
      <w:r w:rsidR="0032778B">
        <w:t xml:space="preserve"> служб</w:t>
      </w:r>
      <w:r w:rsidR="00B36A24">
        <w:t>ы</w:t>
      </w:r>
      <w:r w:rsidR="0032778B">
        <w:t xml:space="preserve"> и договор</w:t>
      </w:r>
      <w:r w:rsidR="00B36A24">
        <w:t>ы с</w:t>
      </w:r>
      <w:r w:rsidR="0032778B">
        <w:t xml:space="preserve"> институтами финансово</w:t>
      </w:r>
      <w:r w:rsidR="00B36A24">
        <w:t>г</w:t>
      </w:r>
      <w:r w:rsidR="0032778B">
        <w:t>о рынка</w:t>
      </w:r>
      <w:r w:rsidR="00B36A24">
        <w:t>.</w:t>
      </w:r>
      <w:r w:rsidR="00AA30E8">
        <w:t xml:space="preserve"> Обоснованность применения механизмов внутреннего резервирования, например, от обесценения ТМЦ или на риск неисполнения дебиторской задолженности требует присутствия в </w:t>
      </w:r>
      <w:r w:rsidR="003D174D">
        <w:t>ш</w:t>
      </w:r>
      <w:r w:rsidR="00AA30E8">
        <w:t>тате ХС хотя бы одного специалиста с функцией оценки рисков таких явлений для установления размера формируемых резервов.</w:t>
      </w:r>
      <w:r w:rsidR="003D174D">
        <w:t xml:space="preserve"> Также и для изменения/восстановления резервов – кто-то должен прийти к заключению об изменении уровня существующих рисков. Такие функции, обычно, не передают на аутсорсинг.</w:t>
      </w:r>
    </w:p>
    <w:p w:rsidR="00AA30E8" w:rsidRDefault="00AA30E8" w:rsidP="0003248E">
      <w:pPr>
        <w:ind w:firstLine="1134"/>
        <w:jc w:val="both"/>
      </w:pPr>
      <w:r>
        <w:t xml:space="preserve">1.2.3. </w:t>
      </w:r>
      <w:r w:rsidR="00C24D71">
        <w:t>Из группы</w:t>
      </w:r>
    </w:p>
    <w:p w:rsidR="00C84407" w:rsidRDefault="00155ECC" w:rsidP="0003248E">
      <w:pPr>
        <w:ind w:firstLine="1134"/>
        <w:jc w:val="both"/>
      </w:pPr>
      <w:r>
        <w:t>1.3. Ф</w:t>
      </w:r>
      <w:r w:rsidR="00C84407">
        <w:t xml:space="preserve">инансирование общехозяйственных (общезаводских и административно-управленческих  расходов), включая зарплату АУП; финансирование операций по привлечению ликвидности и расчетам с участниками ХС (проценты кредиторам/займодавцам, расходы по обеспечению займов и ссуд; &lt;код ЛИУ&gt;; </w:t>
      </w:r>
    </w:p>
    <w:p w:rsidR="00C84407" w:rsidRDefault="00155ECC" w:rsidP="0003248E">
      <w:pPr>
        <w:ind w:firstLine="1134"/>
        <w:jc w:val="both"/>
      </w:pPr>
      <w:r>
        <w:t>1.4. Ф</w:t>
      </w:r>
      <w:r w:rsidR="00C84407">
        <w:t>инансирование расходов по зарплате ППП, по аренде персонала, по охране труда, по улучшению условий труда, социальному обеспечению (</w:t>
      </w:r>
      <w:proofErr w:type="spellStart"/>
      <w:r w:rsidR="00C84407">
        <w:t>соц</w:t>
      </w:r>
      <w:proofErr w:type="gramStart"/>
      <w:r w:rsidR="00C84407">
        <w:t>.п</w:t>
      </w:r>
      <w:proofErr w:type="gramEnd"/>
      <w:r w:rsidR="00C84407">
        <w:t>акет</w:t>
      </w:r>
      <w:proofErr w:type="spellEnd"/>
      <w:r w:rsidR="00C84407">
        <w:t xml:space="preserve">) коллектива работников; &lt;код РЗС&gt;; </w:t>
      </w:r>
    </w:p>
    <w:p w:rsidR="00C84407" w:rsidRDefault="00C84407" w:rsidP="0003248E">
      <w:pPr>
        <w:ind w:firstLine="1134"/>
        <w:jc w:val="both"/>
      </w:pPr>
      <w:r>
        <w:t xml:space="preserve">- прочие операции, связанные с оплатой (расчетами) по приобретению материалов, работ, услуг, </w:t>
      </w:r>
      <w:proofErr w:type="spellStart"/>
      <w:r>
        <w:t>фин</w:t>
      </w:r>
      <w:proofErr w:type="gramStart"/>
      <w:r>
        <w:t>.а</w:t>
      </w:r>
      <w:proofErr w:type="gramEnd"/>
      <w:r>
        <w:t>ктивов</w:t>
      </w:r>
      <w:proofErr w:type="spellEnd"/>
      <w:r w:rsidR="00CE3F98">
        <w:t>/</w:t>
      </w:r>
      <w:proofErr w:type="spellStart"/>
      <w:r w:rsidR="00CE3F98">
        <w:t>имущ.прав</w:t>
      </w:r>
      <w:proofErr w:type="spellEnd"/>
      <w:r w:rsidR="00CE3F98">
        <w:t xml:space="preserve"> </w:t>
      </w:r>
      <w:r>
        <w:t>для перепродажи, дебетовые позиции по которым относятся в оборотный капитал предприятия (код РПР);</w:t>
      </w:r>
    </w:p>
    <w:p w:rsidR="00C84407" w:rsidRDefault="00C84407" w:rsidP="0003248E">
      <w:pPr>
        <w:ind w:firstLine="1134"/>
        <w:jc w:val="both"/>
      </w:pPr>
      <w:r>
        <w:t xml:space="preserve"> - расходы, которые не удалось отнести ни к одной из вышеперечисленных предметных областей, (</w:t>
      </w:r>
      <w:proofErr w:type="spellStart"/>
      <w:r>
        <w:t>вкл</w:t>
      </w:r>
      <w:proofErr w:type="spellEnd"/>
      <w:r>
        <w:t>, судебные издержки по выигрышным делам) код&lt;РНО&gt;.</w:t>
      </w:r>
    </w:p>
    <w:p w:rsidR="00C84407" w:rsidRDefault="00C84407" w:rsidP="0003248E">
      <w:pPr>
        <w:ind w:firstLine="1134"/>
        <w:jc w:val="both"/>
      </w:pPr>
      <w:r>
        <w:tab/>
      </w:r>
      <w:r w:rsidRPr="009B120B">
        <w:rPr>
          <w:b/>
        </w:rPr>
        <w:t>2. Эмиссионные</w:t>
      </w:r>
      <w:r>
        <w:t xml:space="preserve"> (выпуск собственных бумаг, привлечение кредитов, инвесторов/дольщиков и </w:t>
      </w:r>
      <w:proofErr w:type="spellStart"/>
      <w:proofErr w:type="gramStart"/>
      <w:r>
        <w:t>др</w:t>
      </w:r>
      <w:proofErr w:type="spellEnd"/>
      <w:proofErr w:type="gramEnd"/>
      <w:r>
        <w:t xml:space="preserve">) и </w:t>
      </w:r>
      <w:r w:rsidRPr="009B120B">
        <w:rPr>
          <w:b/>
        </w:rPr>
        <w:t>инвестиционные</w:t>
      </w:r>
      <w:r>
        <w:t xml:space="preserve"> операции (вложения и участия):</w:t>
      </w:r>
    </w:p>
    <w:p w:rsidR="00C84407" w:rsidRDefault="00C84407" w:rsidP="0003248E">
      <w:pPr>
        <w:ind w:firstLine="1134"/>
        <w:jc w:val="both"/>
      </w:pPr>
      <w:r>
        <w:t xml:space="preserve"> </w:t>
      </w:r>
      <w:r w:rsidR="00155ECC">
        <w:t>2.1. Ф</w:t>
      </w:r>
      <w:r>
        <w:t xml:space="preserve">инансирование капитальных вложений, включая реновацию (капремонт) и доли в строящихся объектах; финансирование взносов в другие предприятия и т.д. &lt;код ИКВ&gt;; </w:t>
      </w:r>
    </w:p>
    <w:p w:rsidR="00B07AB6" w:rsidRDefault="00155ECC" w:rsidP="0003248E">
      <w:pPr>
        <w:ind w:firstLine="1134"/>
        <w:jc w:val="both"/>
      </w:pPr>
      <w:r>
        <w:t>2.2. Ф</w:t>
      </w:r>
      <w:r w:rsidR="00B07AB6">
        <w:t>инансирование активов с целью получения процентного дохода (</w:t>
      </w:r>
      <w:r w:rsidR="009B120B">
        <w:t xml:space="preserve">выдаваемые </w:t>
      </w:r>
      <w:r w:rsidR="00B07AB6">
        <w:t>займы, товар</w:t>
      </w:r>
      <w:r w:rsidR="009B120B">
        <w:t>ные</w:t>
      </w:r>
      <w:r w:rsidR="00B07AB6">
        <w:t xml:space="preserve"> кредиты, облигации и т.п.)</w:t>
      </w:r>
      <w:proofErr w:type="gramStart"/>
      <w:r w:rsidR="009B120B" w:rsidRPr="009B120B">
        <w:t xml:space="preserve"> .</w:t>
      </w:r>
      <w:proofErr w:type="gramEnd"/>
      <w:r w:rsidR="009B120B" w:rsidRPr="009B120B">
        <w:t xml:space="preserve"> &lt;код И</w:t>
      </w:r>
      <w:r w:rsidR="009B120B">
        <w:t>ПА</w:t>
      </w:r>
      <w:r w:rsidR="009B120B" w:rsidRPr="009B120B">
        <w:t>&gt;</w:t>
      </w:r>
    </w:p>
    <w:p w:rsidR="00C84407" w:rsidRDefault="00C84407" w:rsidP="0003248E">
      <w:pPr>
        <w:ind w:firstLine="1134"/>
        <w:jc w:val="both"/>
      </w:pPr>
      <w:r>
        <w:t>- вложения в объекты интеллектуальных прав; в торговый знак, бренд, репутацию (</w:t>
      </w:r>
      <w:proofErr w:type="spellStart"/>
      <w:r>
        <w:t>гудвилл</w:t>
      </w:r>
      <w:proofErr w:type="spellEnd"/>
      <w:r>
        <w:t xml:space="preserve">), в </w:t>
      </w:r>
      <w:proofErr w:type="spellStart"/>
      <w:r>
        <w:t>задельные</w:t>
      </w:r>
      <w:proofErr w:type="spellEnd"/>
      <w:r>
        <w:t xml:space="preserve"> НИОКР и т.п. &lt;код ИНА&gt;; </w:t>
      </w:r>
    </w:p>
    <w:p w:rsidR="00C84407" w:rsidRDefault="00C84407" w:rsidP="0003248E">
      <w:pPr>
        <w:ind w:firstLine="1134"/>
        <w:jc w:val="both"/>
      </w:pPr>
      <w:r>
        <w:t xml:space="preserve">- финансирование взносов в рамках объединения усилий в совместной деятельности; финансирование взносов в некоммерческие организации (СРО, НП, НО и т.д.), &lt;код УЧА&gt;; </w:t>
      </w:r>
    </w:p>
    <w:p w:rsidR="00C84407" w:rsidRDefault="00C84407" w:rsidP="0003248E">
      <w:pPr>
        <w:ind w:firstLine="1134"/>
        <w:jc w:val="both"/>
      </w:pPr>
      <w:r>
        <w:t xml:space="preserve">- прочие вложения в объекты </w:t>
      </w:r>
      <w:proofErr w:type="spellStart"/>
      <w:r>
        <w:t>имущ</w:t>
      </w:r>
      <w:proofErr w:type="gramStart"/>
      <w:r>
        <w:t>.п</w:t>
      </w:r>
      <w:proofErr w:type="gramEnd"/>
      <w:r>
        <w:t>рав</w:t>
      </w:r>
      <w:proofErr w:type="spellEnd"/>
      <w:r>
        <w:t xml:space="preserve">, активы и проекты, относимые во </w:t>
      </w:r>
      <w:proofErr w:type="spellStart"/>
      <w:r>
        <w:t>внеоборотный</w:t>
      </w:r>
      <w:proofErr w:type="spellEnd"/>
      <w:r>
        <w:t xml:space="preserve"> капитал предприятия&lt;код УВП&gt;; </w:t>
      </w:r>
    </w:p>
    <w:p w:rsidR="00C84407" w:rsidRDefault="00C84407" w:rsidP="0003248E">
      <w:pPr>
        <w:ind w:firstLine="1134"/>
        <w:jc w:val="both"/>
      </w:pPr>
      <w:r>
        <w:t xml:space="preserve">- расчеты и операции по </w:t>
      </w:r>
      <w:r w:rsidR="00B07AB6">
        <w:t xml:space="preserve">привлеченным </w:t>
      </w:r>
      <w:r>
        <w:t xml:space="preserve">займам, кредитам, долговым обязательствам любого рода &lt;код ЭДО&gt;; </w:t>
      </w:r>
    </w:p>
    <w:p w:rsidR="00C84407" w:rsidRDefault="00C84407" w:rsidP="0003248E">
      <w:pPr>
        <w:ind w:firstLine="1134"/>
        <w:jc w:val="both"/>
      </w:pPr>
      <w:r>
        <w:t>- расчеты и операции с акционерами и участниками/дольщиками по капиталу (взносы/возвраты) и дивидендам &lt;код ЭАК&gt;</w:t>
      </w:r>
      <w:proofErr w:type="gramStart"/>
      <w:r>
        <w:t xml:space="preserve"> .</w:t>
      </w:r>
      <w:proofErr w:type="gramEnd"/>
    </w:p>
    <w:p w:rsidR="00C84407" w:rsidRDefault="00C84407" w:rsidP="0003248E">
      <w:pPr>
        <w:ind w:firstLine="1134"/>
        <w:jc w:val="both"/>
      </w:pPr>
      <w:r w:rsidRPr="009B120B">
        <w:rPr>
          <w:b/>
        </w:rPr>
        <w:t>3. Операции реализации (выбытия</w:t>
      </w:r>
      <w:r>
        <w:t xml:space="preserve">): </w:t>
      </w:r>
    </w:p>
    <w:p w:rsidR="00C84407" w:rsidRDefault="00C84407" w:rsidP="0003248E">
      <w:pPr>
        <w:ind w:firstLine="1134"/>
        <w:jc w:val="both"/>
      </w:pPr>
      <w:r>
        <w:t xml:space="preserve">- отгрузка в целях продажи (по договору купли-продажи или поставки товара, подряда, возмездных услуг и т.п.) товаров, выполненных работ, оказанных услуг собственных или покупных для извлечения прибыли в рамках обыкновенной, приносящей доход деятельности &lt;код ВОБ&gt;;  </w:t>
      </w:r>
    </w:p>
    <w:p w:rsidR="00B07AB6" w:rsidRDefault="00C84407" w:rsidP="0003248E">
      <w:pPr>
        <w:ind w:firstLine="1134"/>
        <w:jc w:val="both"/>
      </w:pPr>
      <w:r>
        <w:t xml:space="preserve">- продажа объектов имущественных прав и финансовых активов с доходом &lt;код ВФА&gt;; </w:t>
      </w:r>
    </w:p>
    <w:p w:rsidR="00B07AB6" w:rsidRDefault="00C84407" w:rsidP="0003248E">
      <w:pPr>
        <w:ind w:firstLine="1134"/>
        <w:jc w:val="both"/>
      </w:pPr>
      <w:r>
        <w:t xml:space="preserve">- продажа некондиционных, физически изношенных, морально устаревших ТМЦ, неликвидных складских запасов, затратных объектов и </w:t>
      </w:r>
      <w:proofErr w:type="spellStart"/>
      <w:r>
        <w:t>фин</w:t>
      </w:r>
      <w:proofErr w:type="gramStart"/>
      <w:r>
        <w:t>.в</w:t>
      </w:r>
      <w:proofErr w:type="gramEnd"/>
      <w:r>
        <w:t>ложений</w:t>
      </w:r>
      <w:proofErr w:type="spellEnd"/>
      <w:r>
        <w:t xml:space="preserve">, не приносящих доход и не используемых в обыкновенной деятельности по остаточной стоимости или ниже  &lt;код ВЛК&gt;; </w:t>
      </w:r>
    </w:p>
    <w:p w:rsidR="00C84407" w:rsidRDefault="00C84407" w:rsidP="0003248E">
      <w:pPr>
        <w:ind w:firstLine="1134"/>
        <w:jc w:val="both"/>
      </w:pPr>
      <w:r>
        <w:t>- прочие операции выбытия, (распределение прибыли, выплаты совету директоров, бонусы, парашюты топам, налоги, санкции и судебные возмещения вреда, платежи по регрессам, суброгации и т.п.) &lt;код ВПР&gt;.</w:t>
      </w:r>
    </w:p>
    <w:p w:rsidR="00C84407" w:rsidRDefault="007017BB" w:rsidP="0003248E">
      <w:pPr>
        <w:ind w:firstLine="1134"/>
        <w:jc w:val="both"/>
      </w:pPr>
      <w:r>
        <w:t>ПРИМЕЧАНИЕ</w:t>
      </w:r>
      <w:r w:rsidR="00C84407">
        <w:t>. В случае сделки мены следует исходить из того, что здесь присутствуют две сделки купли-продажи в одной и вопрос о классификации решается отдельно для каждой операции и для каждой из сторон – и по выбываемому, и по получаемому (приобретаемому) активу.</w:t>
      </w:r>
    </w:p>
    <w:p w:rsidR="007017BB" w:rsidRDefault="00C84407" w:rsidP="0003248E">
      <w:pPr>
        <w:ind w:firstLine="1134"/>
        <w:jc w:val="both"/>
      </w:pPr>
      <w:r>
        <w:t xml:space="preserve">5. </w:t>
      </w:r>
      <w:proofErr w:type="gramStart"/>
      <w:r>
        <w:t xml:space="preserve">В случае </w:t>
      </w:r>
      <w:r w:rsidRPr="007017BB">
        <w:rPr>
          <w:b/>
        </w:rPr>
        <w:t xml:space="preserve">несобственных </w:t>
      </w:r>
      <w:r>
        <w:t xml:space="preserve">операций (действия в чужом интересе, агентские, комиссионные, договор-поручение, ведение дел в товариществе, доверительное управление (траст) и т.д.): </w:t>
      </w:r>
      <w:proofErr w:type="gramEnd"/>
    </w:p>
    <w:p w:rsidR="007017BB" w:rsidRDefault="00C84407" w:rsidP="0003248E">
      <w:pPr>
        <w:ind w:firstLine="1134"/>
        <w:jc w:val="both"/>
      </w:pPr>
      <w:r>
        <w:t xml:space="preserve">- авансирование, предоплаты и товарное кредитование (отгрузки с </w:t>
      </w:r>
      <w:proofErr w:type="gramStart"/>
      <w:r>
        <w:t>пост-оплатой</w:t>
      </w:r>
      <w:proofErr w:type="gramEnd"/>
      <w:r>
        <w:t xml:space="preserve">) по клиентским операциям, которые финансировались за свой счет и риск (за счет займа, предоставленного клиенту) с ответственностью перед клиентом за исполнение обязательств контрагентами в заключенных по поручению сделках &lt;код ППО&gt;; </w:t>
      </w:r>
    </w:p>
    <w:p w:rsidR="007017BB" w:rsidRDefault="00C84407" w:rsidP="0003248E">
      <w:pPr>
        <w:ind w:firstLine="1134"/>
        <w:jc w:val="both"/>
      </w:pPr>
      <w:r>
        <w:t xml:space="preserve">- авансирование, предоплаты и товарное кредитование (отгрузки с оплатой по факту) по клиентским операциям, которые финансировались за счет и риск клиента с ответственностью перед клиентом за исполнение обязательств контрагентами в заключенных по поручению сделках &lt;код ПСО&gt;; </w:t>
      </w:r>
    </w:p>
    <w:p w:rsidR="00C84407" w:rsidRDefault="00C84407" w:rsidP="0003248E">
      <w:pPr>
        <w:ind w:firstLine="1134"/>
        <w:jc w:val="both"/>
      </w:pPr>
      <w:r>
        <w:t>- авансирование, предоплаты и отгрузки с оплатой по факту по клиентским операциям, которые финансировались за счет и риск клиента без ответственности перед клиентом за исполнение обязательств контрагентами в заключенных по поручению сделках &lt;код ПБО&gt;.</w:t>
      </w:r>
    </w:p>
    <w:sectPr w:rsidR="00C8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53" w:rsidRDefault="00310B53" w:rsidP="008D754F">
      <w:pPr>
        <w:spacing w:before="0" w:after="0"/>
      </w:pPr>
      <w:r>
        <w:separator/>
      </w:r>
    </w:p>
  </w:endnote>
  <w:endnote w:type="continuationSeparator" w:id="0">
    <w:p w:rsidR="00310B53" w:rsidRDefault="00310B53" w:rsidP="008D75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53" w:rsidRDefault="00310B53" w:rsidP="008D754F">
      <w:pPr>
        <w:spacing w:before="0" w:after="0"/>
      </w:pPr>
      <w:r>
        <w:separator/>
      </w:r>
    </w:p>
  </w:footnote>
  <w:footnote w:type="continuationSeparator" w:id="0">
    <w:p w:rsidR="00310B53" w:rsidRDefault="00310B53" w:rsidP="008D754F">
      <w:pPr>
        <w:spacing w:before="0" w:after="0"/>
      </w:pPr>
      <w:r>
        <w:continuationSeparator/>
      </w:r>
    </w:p>
  </w:footnote>
  <w:footnote w:id="1">
    <w:p w:rsidR="008D754F" w:rsidRPr="00216F6F" w:rsidRDefault="008D754F" w:rsidP="008D754F">
      <w:pPr>
        <w:pStyle w:val="af7"/>
      </w:pPr>
      <w:r>
        <w:rPr>
          <w:rStyle w:val="af9"/>
        </w:rPr>
        <w:footnoteRef/>
      </w:r>
      <w:r>
        <w:t xml:space="preserve"> </w:t>
      </w:r>
      <w:hyperlink r:id="rId1" w:history="1">
        <w:r w:rsidRPr="00FE1773">
          <w:rPr>
            <w:rStyle w:val="afa"/>
            <w:lang w:val="en-US"/>
          </w:rPr>
          <w:t>http</w:t>
        </w:r>
        <w:r w:rsidRPr="00216F6F">
          <w:rPr>
            <w:rStyle w:val="afa"/>
          </w:rPr>
          <w:t>://</w:t>
        </w:r>
        <w:r w:rsidRPr="00FE1773">
          <w:rPr>
            <w:rStyle w:val="afa"/>
            <w:lang w:val="en-US"/>
          </w:rPr>
          <w:t>www</w:t>
        </w:r>
        <w:r w:rsidRPr="00216F6F">
          <w:rPr>
            <w:rStyle w:val="afa"/>
          </w:rPr>
          <w:t>.</w:t>
        </w:r>
        <w:proofErr w:type="spellStart"/>
        <w:r w:rsidRPr="00FE1773">
          <w:rPr>
            <w:rStyle w:val="afa"/>
            <w:lang w:val="en-US"/>
          </w:rPr>
          <w:t>iccwbo</w:t>
        </w:r>
        <w:proofErr w:type="spellEnd"/>
        <w:r w:rsidRPr="00216F6F">
          <w:rPr>
            <w:rStyle w:val="afa"/>
          </w:rPr>
          <w:t>.</w:t>
        </w:r>
        <w:proofErr w:type="spellStart"/>
        <w:r w:rsidRPr="00FE1773">
          <w:rPr>
            <w:rStyle w:val="afa"/>
            <w:lang w:val="en-US"/>
          </w:rPr>
          <w:t>ru</w:t>
        </w:r>
        <w:proofErr w:type="spellEnd"/>
        <w:r w:rsidRPr="00216F6F">
          <w:rPr>
            <w:rStyle w:val="afa"/>
          </w:rPr>
          <w:t>/</w:t>
        </w:r>
        <w:r w:rsidRPr="00FE1773">
          <w:rPr>
            <w:rStyle w:val="afa"/>
            <w:lang w:val="en-US"/>
          </w:rPr>
          <w:t>blog</w:t>
        </w:r>
        <w:r w:rsidRPr="00216F6F">
          <w:rPr>
            <w:rStyle w:val="afa"/>
          </w:rPr>
          <w:t>/2016/</w:t>
        </w:r>
        <w:proofErr w:type="spellStart"/>
        <w:r w:rsidRPr="00FE1773">
          <w:rPr>
            <w:rStyle w:val="afa"/>
            <w:lang w:val="en-US"/>
          </w:rPr>
          <w:t>upravlenie</w:t>
        </w:r>
        <w:proofErr w:type="spellEnd"/>
        <w:r w:rsidRPr="00216F6F">
          <w:rPr>
            <w:rStyle w:val="afa"/>
          </w:rPr>
          <w:t>-</w:t>
        </w:r>
        <w:proofErr w:type="spellStart"/>
        <w:r w:rsidRPr="00FE1773">
          <w:rPr>
            <w:rStyle w:val="afa"/>
            <w:lang w:val="en-US"/>
          </w:rPr>
          <w:t>riskami</w:t>
        </w:r>
        <w:proofErr w:type="spellEnd"/>
        <w:r w:rsidRPr="00216F6F">
          <w:rPr>
            <w:rStyle w:val="afa"/>
          </w:rPr>
          <w:t>-</w:t>
        </w:r>
        <w:r w:rsidRPr="00FE1773">
          <w:rPr>
            <w:rStyle w:val="afa"/>
            <w:lang w:val="en-US"/>
          </w:rPr>
          <w:t>v</w:t>
        </w:r>
        <w:r w:rsidRPr="00216F6F">
          <w:rPr>
            <w:rStyle w:val="afa"/>
          </w:rPr>
          <w:t>-</w:t>
        </w:r>
        <w:proofErr w:type="spellStart"/>
        <w:r w:rsidRPr="00FE1773">
          <w:rPr>
            <w:rStyle w:val="afa"/>
            <w:lang w:val="en-US"/>
          </w:rPr>
          <w:t>organizatsii</w:t>
        </w:r>
        <w:proofErr w:type="spellEnd"/>
        <w:r w:rsidRPr="00216F6F">
          <w:rPr>
            <w:rStyle w:val="afa"/>
          </w:rPr>
          <w:t>/</w:t>
        </w:r>
      </w:hyperlink>
    </w:p>
    <w:p w:rsidR="008D754F" w:rsidRDefault="008D754F">
      <w:pPr>
        <w:pStyle w:val="af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2"/>
    <w:rsid w:val="00025753"/>
    <w:rsid w:val="0003248E"/>
    <w:rsid w:val="00045DB8"/>
    <w:rsid w:val="00065AE5"/>
    <w:rsid w:val="00065DA1"/>
    <w:rsid w:val="000F25C1"/>
    <w:rsid w:val="001375EF"/>
    <w:rsid w:val="00155ECC"/>
    <w:rsid w:val="00177E54"/>
    <w:rsid w:val="001B64DB"/>
    <w:rsid w:val="001E5251"/>
    <w:rsid w:val="00250C61"/>
    <w:rsid w:val="0027293F"/>
    <w:rsid w:val="002C4B13"/>
    <w:rsid w:val="002E6E89"/>
    <w:rsid w:val="00310B53"/>
    <w:rsid w:val="0032778B"/>
    <w:rsid w:val="003A611F"/>
    <w:rsid w:val="003B42D4"/>
    <w:rsid w:val="003C0135"/>
    <w:rsid w:val="003C5E37"/>
    <w:rsid w:val="003D174D"/>
    <w:rsid w:val="003F46E5"/>
    <w:rsid w:val="003F5908"/>
    <w:rsid w:val="00454E0A"/>
    <w:rsid w:val="004D0502"/>
    <w:rsid w:val="004D4542"/>
    <w:rsid w:val="004F45BC"/>
    <w:rsid w:val="005279D4"/>
    <w:rsid w:val="00553931"/>
    <w:rsid w:val="005A5952"/>
    <w:rsid w:val="005E0B88"/>
    <w:rsid w:val="00621A33"/>
    <w:rsid w:val="006741C3"/>
    <w:rsid w:val="006A62A5"/>
    <w:rsid w:val="006E1A69"/>
    <w:rsid w:val="007017BB"/>
    <w:rsid w:val="00715D1C"/>
    <w:rsid w:val="00736217"/>
    <w:rsid w:val="00760F9F"/>
    <w:rsid w:val="0076413C"/>
    <w:rsid w:val="00776B05"/>
    <w:rsid w:val="00825FD8"/>
    <w:rsid w:val="00832B4D"/>
    <w:rsid w:val="008500EE"/>
    <w:rsid w:val="00886785"/>
    <w:rsid w:val="008D754F"/>
    <w:rsid w:val="00970C43"/>
    <w:rsid w:val="009768DF"/>
    <w:rsid w:val="00993E41"/>
    <w:rsid w:val="009B120B"/>
    <w:rsid w:val="009D4469"/>
    <w:rsid w:val="009E18E6"/>
    <w:rsid w:val="009F0C35"/>
    <w:rsid w:val="00A1439C"/>
    <w:rsid w:val="00A32467"/>
    <w:rsid w:val="00AA30E8"/>
    <w:rsid w:val="00AD04EF"/>
    <w:rsid w:val="00AF2583"/>
    <w:rsid w:val="00B07AB6"/>
    <w:rsid w:val="00B35467"/>
    <w:rsid w:val="00B36A24"/>
    <w:rsid w:val="00B577F0"/>
    <w:rsid w:val="00B64115"/>
    <w:rsid w:val="00B87565"/>
    <w:rsid w:val="00BE5824"/>
    <w:rsid w:val="00C24D71"/>
    <w:rsid w:val="00C323DC"/>
    <w:rsid w:val="00C560C5"/>
    <w:rsid w:val="00C57D85"/>
    <w:rsid w:val="00C72991"/>
    <w:rsid w:val="00C84407"/>
    <w:rsid w:val="00C85474"/>
    <w:rsid w:val="00CD6DF3"/>
    <w:rsid w:val="00CE25F8"/>
    <w:rsid w:val="00CE3F98"/>
    <w:rsid w:val="00D1146C"/>
    <w:rsid w:val="00D323C2"/>
    <w:rsid w:val="00D45FEA"/>
    <w:rsid w:val="00D9362A"/>
    <w:rsid w:val="00DD145A"/>
    <w:rsid w:val="00DE5770"/>
    <w:rsid w:val="00DF2B9A"/>
    <w:rsid w:val="00E23C8B"/>
    <w:rsid w:val="00E24189"/>
    <w:rsid w:val="00E256D7"/>
    <w:rsid w:val="00E63C73"/>
    <w:rsid w:val="00E83ECC"/>
    <w:rsid w:val="00EB6488"/>
    <w:rsid w:val="00EB6882"/>
    <w:rsid w:val="00ED31C3"/>
    <w:rsid w:val="00F14E23"/>
    <w:rsid w:val="00F46D49"/>
    <w:rsid w:val="00F70D13"/>
    <w:rsid w:val="00F96175"/>
    <w:rsid w:val="00F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кспертный"/>
    <w:qFormat/>
    <w:rsid w:val="00B35467"/>
    <w:pPr>
      <w:spacing w:before="100" w:beforeAutospacing="1" w:after="100" w:afterAutospacing="1"/>
      <w:ind w:firstLine="851"/>
      <w:contextualSpacing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D754F"/>
    <w:pPr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D754F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8D754F"/>
    <w:rPr>
      <w:vertAlign w:val="superscript"/>
    </w:rPr>
  </w:style>
  <w:style w:type="character" w:styleId="afa">
    <w:name w:val="Hyperlink"/>
    <w:basedOn w:val="a0"/>
    <w:uiPriority w:val="99"/>
    <w:unhideWhenUsed/>
    <w:rsid w:val="008D754F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8D75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D754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кспертный"/>
    <w:qFormat/>
    <w:rsid w:val="00B35467"/>
    <w:pPr>
      <w:spacing w:before="100" w:beforeAutospacing="1" w:after="100" w:afterAutospacing="1"/>
      <w:ind w:firstLine="851"/>
      <w:contextualSpacing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D754F"/>
    <w:pPr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D754F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8D754F"/>
    <w:rPr>
      <w:vertAlign w:val="superscript"/>
    </w:rPr>
  </w:style>
  <w:style w:type="character" w:styleId="afa">
    <w:name w:val="Hyperlink"/>
    <w:basedOn w:val="a0"/>
    <w:uiPriority w:val="99"/>
    <w:unhideWhenUsed/>
    <w:rsid w:val="008D754F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8D75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D75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ru/blog/2016/upravlenie-riskami-v-organiz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5622-B538-4E2F-AA70-F0CC4170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Алешин</dc:creator>
  <cp:keywords/>
  <dc:description/>
  <cp:lastModifiedBy>Александр Алешин</cp:lastModifiedBy>
  <cp:revision>26</cp:revision>
  <cp:lastPrinted>2018-08-13T08:49:00Z</cp:lastPrinted>
  <dcterms:created xsi:type="dcterms:W3CDTF">2018-06-18T09:12:00Z</dcterms:created>
  <dcterms:modified xsi:type="dcterms:W3CDTF">2019-04-26T12:55:00Z</dcterms:modified>
</cp:coreProperties>
</file>